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148"/>
          <w:sz w:val="56"/>
          <w:szCs w:val="56"/>
        </w:rPr>
        <w:t xml:space="preserve">JAMM PX</w:t>
      </w:r>
    </w:p>
    <w:p>
      <w:pPr>
        <w:spacing w:after="120" w:before="120"/>
        <w:jc w:val="center"/>
      </w:pPr>
      <w:r>
        <w:rPr>
          <w:rFonts w:ascii="Arial" w:cs="Arial" w:eastAsia="Arial" w:hAnsi="Arial"/>
          <w:color w:val="6B7280"/>
          <w:sz w:val="24"/>
          <w:szCs w:val="24"/>
        </w:rPr>
        <w:t xml:space="preserve">Master Behavioral Tracking Schema</w:t>
      </w:r>
    </w:p>
    <w:p>
      <w:pPr>
        <w:spacing w:after="120" w:before="120"/>
        <w:jc w:val="center"/>
      </w:pPr>
      <w:r>
        <w:rPr>
          <w:rFonts w:ascii="Arial" w:cs="Arial" w:eastAsia="Arial" w:hAnsi="Arial"/>
          <w:color w:val="6B7280"/>
          <w:sz w:val="24"/>
          <w:szCs w:val="24"/>
        </w:rPr>
        <w:t xml:space="preserve">Intelligence Infrastructure — Complete Event Inventory</w:t>
      </w:r>
    </w:p>
    <w:p>
      <w:pPr>
        <w:spacing w:after="80" w:before="400"/>
        <w:jc w:val="center"/>
      </w:pPr>
      <w:r>
        <w:rPr>
          <w:rFonts w:ascii="Arial" w:cs="Arial" w:eastAsia="Arial" w:hAnsi="Arial"/>
          <w:i/>
          <w:iCs/>
          <w:color w:val="6B7280"/>
          <w:sz w:val="20"/>
          <w:szCs w:val="20"/>
        </w:rPr>
        <w:t xml:space="preserve">May 2026 — Confidential</w:t>
      </w:r>
    </w:p>
    <w:p>
      <w:pPr>
        <w:spacing w:after="80" w:before="80"/>
        <w:jc w:val="center"/>
      </w:pPr>
      <w:r>
        <w:rPr>
          <w:rFonts w:ascii="Arial" w:cs="Arial" w:eastAsia="Arial" w:hAnsi="Arial"/>
          <w:i/>
          <w:iCs/>
          <w:color w:val="6B7280"/>
          <w:sz w:val="20"/>
          <w:szCs w:val="20"/>
        </w:rPr>
        <w:t xml:space="preserve">Prepared for: Andrew &amp; Ben</w:t>
      </w:r>
    </w:p>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F3148"/>
          <w:sz w:val="22"/>
          <w:szCs w:val="22"/>
        </w:rPr>
        <w:t xml:space="preserve">Everything in this document must be instrumented before firm one joins. No exceptions.</w:t>
      </w:r>
    </w:p>
    <w:p>
      <w:pPr>
        <w:spacing w:after="80" w:before="80"/>
      </w:pPr>
      <w:r>
        <w:t xml:space="preserve"/>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Why This Document Exists</w:t>
      </w:r>
    </w:p>
    <w:p>
      <w:pPr>
        <w:spacing w:after="120" w:before="80"/>
      </w:pPr>
      <w:r>
        <w:rPr>
          <w:rFonts w:ascii="Arial" w:cs="Arial" w:eastAsia="Arial" w:hAnsi="Arial"/>
          <w:color w:val="111827"/>
          <w:sz w:val="20"/>
          <w:szCs w:val="20"/>
        </w:rPr>
        <w:t xml:space="preserve">JAMM PX is not a workflow tool with an intelligence layer as a future upsell. It is a firm intelligence platform that requires a workflow layer to generate its data. The workflow captures the data. The intelligence layer is the product.</w:t>
      </w:r>
    </w:p>
    <w:p>
      <w:pPr>
        <w:spacing w:after="120" w:before="80"/>
      </w:pPr>
      <w:r>
        <w:rPr>
          <w:rFonts w:ascii="Arial" w:cs="Arial" w:eastAsia="Arial" w:hAnsi="Arial"/>
          <w:color w:val="111827"/>
          <w:sz w:val="20"/>
          <w:szCs w:val="20"/>
        </w:rPr>
        <w:t xml:space="preserve">This document is the complete inventory of every behavioral signal, event, and data point the platform should capture from day one. The cost of logging an extra event is near zero. The cost of realizing six months after launch that you needed data you were not collecting is months of lost intelligence that cannot be reconstructed retroactively.</w:t>
      </w:r>
    </w:p>
    <w:p>
      <w:pPr>
        <w:spacing w:after="120" w:before="80"/>
      </w:pPr>
      <w:r>
        <w:rPr>
          <w:rFonts w:ascii="Arial" w:cs="Arial" w:eastAsia="Arial" w:hAnsi="Arial"/>
          <w:color w:val="111827"/>
          <w:sz w:val="20"/>
          <w:szCs w:val="20"/>
        </w:rPr>
        <w:t xml:space="preserve">Every item on this list must be reviewed by Ben and sorted into three buckets: pure event log addition requiring no UI change, small UI addition required, new model or migration required. That triage determines build sequencing for the summer.</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01 — Engagement Domain</w:t>
      </w:r>
    </w:p>
    <w:p>
      <w:pPr>
        <w:spacing w:after="160" w:before="80"/>
      </w:pPr>
      <w:r>
        <w:rPr>
          <w:rFonts w:ascii="Arial" w:cs="Arial" w:eastAsia="Arial" w:hAnsi="Arial"/>
          <w:i/>
          <w:iCs/>
          <w:color w:val="6B7280"/>
          <w:sz w:val="20"/>
          <w:szCs w:val="20"/>
        </w:rPr>
        <w:t xml:space="preserve">Every event in the lifecycle of a billable unit of work, from creation to archive.</w:t>
      </w:r>
    </w:p>
    <w:p>
      <w:pPr>
        <w:pStyle w:val="Heading2"/>
        <w:spacing w:after="100" w:before="280"/>
      </w:pPr>
      <w:r>
        <w:rPr>
          <w:rFonts w:ascii="Arial" w:cs="Arial" w:eastAsia="Arial" w:hAnsi="Arial"/>
          <w:b/>
          <w:bCs/>
          <w:color w:val="1F3148"/>
          <w:sz w:val="22"/>
          <w:szCs w:val="22"/>
        </w:rPr>
        <w:t xml:space="preserve">Core Lifecycle Events</w:t>
      </w:r>
    </w:p>
    <w:p>
      <w:pPr>
        <w:pStyle w:val="ListParagraph"/>
        <w:numPr>
          <w:ilvl w:val="0"/>
          <w:numId w:val="2"/>
        </w:numPr>
        <w:spacing w:after="40" w:before="40"/>
      </w:pPr>
      <w:r>
        <w:rPr>
          <w:rFonts w:ascii="Arial" w:cs="Arial" w:eastAsia="Arial" w:hAnsi="Arial"/>
          <w:color w:val="111827"/>
          <w:sz w:val="19"/>
          <w:szCs w:val="19"/>
        </w:rPr>
        <w:t xml:space="preserve">Engagement created — form type, complexity tier, assigned staff, client tenure flag</w:t>
      </w:r>
    </w:p>
    <w:p>
      <w:pPr>
        <w:pStyle w:val="ListParagraph"/>
        <w:numPr>
          <w:ilvl w:val="0"/>
          <w:numId w:val="2"/>
        </w:numPr>
        <w:spacing w:after="40" w:before="40"/>
      </w:pPr>
      <w:r>
        <w:rPr>
          <w:rFonts w:ascii="Arial" w:cs="Arial" w:eastAsia="Arial" w:hAnsi="Arial"/>
          <w:color w:val="111827"/>
          <w:sz w:val="19"/>
          <w:szCs w:val="19"/>
        </w:rPr>
        <w:t xml:space="preserve">Engagement status changed — from status, to status, who changed it, time since last status change</w:t>
      </w:r>
    </w:p>
    <w:p>
      <w:pPr>
        <w:pStyle w:val="ListParagraph"/>
        <w:numPr>
          <w:ilvl w:val="0"/>
          <w:numId w:val="2"/>
        </w:numPr>
        <w:spacing w:after="40" w:before="40"/>
      </w:pPr>
      <w:r>
        <w:rPr>
          <w:rFonts w:ascii="Arial" w:cs="Arial" w:eastAsia="Arial" w:hAnsi="Arial"/>
          <w:color w:val="111827"/>
          <w:sz w:val="19"/>
          <w:szCs w:val="19"/>
        </w:rPr>
        <w:t xml:space="preserve">Engagement assigned — from staff, to staff</w:t>
      </w:r>
    </w:p>
    <w:p>
      <w:pPr>
        <w:pStyle w:val="ListParagraph"/>
        <w:numPr>
          <w:ilvl w:val="0"/>
          <w:numId w:val="2"/>
        </w:numPr>
        <w:spacing w:after="40" w:before="40"/>
      </w:pPr>
      <w:r>
        <w:rPr>
          <w:rFonts w:ascii="Arial" w:cs="Arial" w:eastAsia="Arial" w:hAnsi="Arial"/>
          <w:color w:val="111827"/>
          <w:sz w:val="19"/>
          <w:szCs w:val="19"/>
        </w:rPr>
        <w:t xml:space="preserve">Engagement deadline set — deadline type, date, days until deadline at time of setting</w:t>
      </w:r>
    </w:p>
    <w:p>
      <w:pPr>
        <w:pStyle w:val="ListParagraph"/>
        <w:numPr>
          <w:ilvl w:val="0"/>
          <w:numId w:val="2"/>
        </w:numPr>
        <w:spacing w:after="40" w:before="40"/>
      </w:pPr>
      <w:r>
        <w:rPr>
          <w:rFonts w:ascii="Arial" w:cs="Arial" w:eastAsia="Arial" w:hAnsi="Arial"/>
          <w:color w:val="111827"/>
          <w:sz w:val="19"/>
          <w:szCs w:val="19"/>
        </w:rPr>
        <w:t xml:space="preserve">Engagement deadline changed — old deadline, new deadline, who changed it</w:t>
      </w:r>
    </w:p>
    <w:p>
      <w:pPr>
        <w:pStyle w:val="ListParagraph"/>
        <w:numPr>
          <w:ilvl w:val="0"/>
          <w:numId w:val="2"/>
        </w:numPr>
        <w:spacing w:after="40" w:before="40"/>
      </w:pPr>
      <w:r>
        <w:rPr>
          <w:rFonts w:ascii="Arial" w:cs="Arial" w:eastAsia="Arial" w:hAnsi="Arial"/>
          <w:color w:val="111827"/>
          <w:sz w:val="19"/>
          <w:szCs w:val="19"/>
        </w:rPr>
        <w:t xml:space="preserve">Extension filed — original deadline, new extended deadline, days before original deadline it was filed</w:t>
      </w:r>
    </w:p>
    <w:p>
      <w:pPr>
        <w:pStyle w:val="ListParagraph"/>
        <w:numPr>
          <w:ilvl w:val="0"/>
          <w:numId w:val="2"/>
        </w:numPr>
        <w:spacing w:after="40" w:before="40"/>
      </w:pPr>
      <w:r>
        <w:rPr>
          <w:rFonts w:ascii="Arial" w:cs="Arial" w:eastAsia="Arial" w:hAnsi="Arial"/>
          <w:color w:val="111827"/>
          <w:sz w:val="19"/>
          <w:szCs w:val="19"/>
        </w:rPr>
        <w:t xml:space="preserve">Engagement completed — total duration, form type, complexity tier, staff count, total time entries, total documents, total tasks, invoice generated yes or no</w:t>
      </w:r>
    </w:p>
    <w:p>
      <w:pPr>
        <w:pStyle w:val="ListParagraph"/>
        <w:numPr>
          <w:ilvl w:val="0"/>
          <w:numId w:val="2"/>
        </w:numPr>
        <w:spacing w:after="40" w:before="40"/>
      </w:pPr>
      <w:r>
        <w:rPr>
          <w:rFonts w:ascii="Arial" w:cs="Arial" w:eastAsia="Arial" w:hAnsi="Arial"/>
          <w:color w:val="111827"/>
          <w:sz w:val="19"/>
          <w:szCs w:val="19"/>
        </w:rPr>
        <w:t xml:space="preserve">Engagement reopened — who reopened, time since completion, reason if captured</w:t>
      </w:r>
    </w:p>
    <w:p>
      <w:pPr>
        <w:pStyle w:val="ListParagraph"/>
        <w:numPr>
          <w:ilvl w:val="0"/>
          <w:numId w:val="2"/>
        </w:numPr>
        <w:spacing w:after="40" w:before="40"/>
      </w:pPr>
      <w:r>
        <w:rPr>
          <w:rFonts w:ascii="Arial" w:cs="Arial" w:eastAsia="Arial" w:hAnsi="Arial"/>
          <w:color w:val="111827"/>
          <w:sz w:val="19"/>
          <w:szCs w:val="19"/>
        </w:rPr>
        <w:t xml:space="preserve">Engagement archived — duration active, completion status at archive</w:t>
      </w:r>
    </w:p>
    <w:p>
      <w:pPr>
        <w:pStyle w:val="Heading2"/>
        <w:spacing w:after="100" w:before="280"/>
      </w:pPr>
      <w:r>
        <w:rPr>
          <w:rFonts w:ascii="Arial" w:cs="Arial" w:eastAsia="Arial" w:hAnsi="Arial"/>
          <w:b/>
          <w:bCs/>
          <w:color w:val="1F3148"/>
          <w:sz w:val="22"/>
          <w:szCs w:val="22"/>
        </w:rPr>
        <w:t xml:space="preserve">Derived Timeline Metrics</w:t>
      </w:r>
    </w:p>
    <w:p>
      <w:pPr>
        <w:pStyle w:val="ListParagraph"/>
        <w:numPr>
          <w:ilvl w:val="0"/>
          <w:numId w:val="2"/>
        </w:numPr>
        <w:spacing w:after="40" w:before="40"/>
      </w:pPr>
      <w:r>
        <w:rPr>
          <w:rFonts w:ascii="Arial" w:cs="Arial" w:eastAsia="Arial" w:hAnsi="Arial"/>
          <w:color w:val="111827"/>
          <w:sz w:val="19"/>
          <w:szCs w:val="19"/>
        </w:rPr>
        <w:t xml:space="preserve">Total calendar days from created to completed</w:t>
      </w:r>
    </w:p>
    <w:p>
      <w:pPr>
        <w:pStyle w:val="ListParagraph"/>
        <w:numPr>
          <w:ilvl w:val="0"/>
          <w:numId w:val="2"/>
        </w:numPr>
        <w:spacing w:after="40" w:before="40"/>
      </w:pPr>
      <w:r>
        <w:rPr>
          <w:rFonts w:ascii="Arial" w:cs="Arial" w:eastAsia="Arial" w:hAnsi="Arial"/>
          <w:color w:val="111827"/>
          <w:sz w:val="19"/>
          <w:szCs w:val="19"/>
        </w:rPr>
        <w:t xml:space="preserve">Total calendar days from created to first time entry</w:t>
      </w:r>
    </w:p>
    <w:p>
      <w:pPr>
        <w:pStyle w:val="ListParagraph"/>
        <w:numPr>
          <w:ilvl w:val="0"/>
          <w:numId w:val="2"/>
        </w:numPr>
        <w:spacing w:after="40" w:before="40"/>
      </w:pPr>
      <w:r>
        <w:rPr>
          <w:rFonts w:ascii="Arial" w:cs="Arial" w:eastAsia="Arial" w:hAnsi="Arial"/>
          <w:color w:val="111827"/>
          <w:sz w:val="19"/>
          <w:szCs w:val="19"/>
        </w:rPr>
        <w:t xml:space="preserve">Total calendar days from created to all documents received</w:t>
      </w:r>
    </w:p>
    <w:p>
      <w:pPr>
        <w:pStyle w:val="ListParagraph"/>
        <w:numPr>
          <w:ilvl w:val="0"/>
          <w:numId w:val="2"/>
        </w:numPr>
        <w:spacing w:after="40" w:before="40"/>
      </w:pPr>
      <w:r>
        <w:rPr>
          <w:rFonts w:ascii="Arial" w:cs="Arial" w:eastAsia="Arial" w:hAnsi="Arial"/>
          <w:color w:val="111827"/>
          <w:sz w:val="19"/>
          <w:szCs w:val="19"/>
        </w:rPr>
        <w:t xml:space="preserve">Total calendar days from draft complete to client approval</w:t>
      </w:r>
    </w:p>
    <w:p>
      <w:pPr>
        <w:pStyle w:val="ListParagraph"/>
        <w:numPr>
          <w:ilvl w:val="0"/>
          <w:numId w:val="2"/>
        </w:numPr>
        <w:spacing w:after="40" w:before="40"/>
      </w:pPr>
      <w:r>
        <w:rPr>
          <w:rFonts w:ascii="Arial" w:cs="Arial" w:eastAsia="Arial" w:hAnsi="Arial"/>
          <w:color w:val="111827"/>
          <w:sz w:val="19"/>
          <w:szCs w:val="19"/>
        </w:rPr>
        <w:t xml:space="preserve">Number of status changes total per engagement</w:t>
      </w:r>
    </w:p>
    <w:p>
      <w:pPr>
        <w:pStyle w:val="ListParagraph"/>
        <w:numPr>
          <w:ilvl w:val="0"/>
          <w:numId w:val="2"/>
        </w:numPr>
        <w:spacing w:after="40" w:before="40"/>
      </w:pPr>
      <w:r>
        <w:rPr>
          <w:rFonts w:ascii="Arial" w:cs="Arial" w:eastAsia="Arial" w:hAnsi="Arial"/>
          <w:color w:val="111827"/>
          <w:sz w:val="19"/>
          <w:szCs w:val="19"/>
        </w:rPr>
        <w:t xml:space="preserve">Number of staff members who logged time per engagement</w:t>
      </w:r>
    </w:p>
    <w:p>
      <w:pPr>
        <w:pStyle w:val="ListParagraph"/>
        <w:numPr>
          <w:ilvl w:val="0"/>
          <w:numId w:val="2"/>
        </w:numPr>
        <w:spacing w:after="40" w:before="40"/>
      </w:pPr>
      <w:r>
        <w:rPr>
          <w:rFonts w:ascii="Arial" w:cs="Arial" w:eastAsia="Arial" w:hAnsi="Arial"/>
          <w:color w:val="111827"/>
          <w:sz w:val="19"/>
          <w:szCs w:val="19"/>
        </w:rPr>
        <w:t xml:space="preserve">Ratio of billable to non-billable hours per engagement</w:t>
      </w:r>
    </w:p>
    <w:p>
      <w:pPr>
        <w:pStyle w:val="Heading2"/>
        <w:spacing w:after="100" w:before="280"/>
      </w:pPr>
      <w:r>
        <w:rPr>
          <w:rFonts w:ascii="Arial" w:cs="Arial" w:eastAsia="Arial" w:hAnsi="Arial"/>
          <w:b/>
          <w:bCs/>
          <w:color w:val="1F3148"/>
          <w:sz w:val="22"/>
          <w:szCs w:val="22"/>
        </w:rPr>
        <w:t xml:space="preserve">Quality and Complexity Signals</w:t>
      </w:r>
    </w:p>
    <w:p>
      <w:pPr>
        <w:pStyle w:val="ListParagraph"/>
        <w:numPr>
          <w:ilvl w:val="0"/>
          <w:numId w:val="2"/>
        </w:numPr>
        <w:spacing w:after="40" w:before="40"/>
      </w:pPr>
      <w:r>
        <w:rPr>
          <w:rFonts w:ascii="Arial" w:cs="Arial" w:eastAsia="Arial" w:hAnsi="Arial"/>
          <w:color w:val="111827"/>
          <w:sz w:val="19"/>
          <w:szCs w:val="19"/>
        </w:rPr>
        <w:t xml:space="preserve">Question and note frequency per engagement relative to complexity tier</w:t>
      </w:r>
    </w:p>
    <w:p>
      <w:pPr>
        <w:pStyle w:val="ListParagraph"/>
        <w:numPr>
          <w:ilvl w:val="0"/>
          <w:numId w:val="2"/>
        </w:numPr>
        <w:spacing w:after="40" w:before="40"/>
      </w:pPr>
      <w:r>
        <w:rPr>
          <w:rFonts w:ascii="Arial" w:cs="Arial" w:eastAsia="Arial" w:hAnsi="Arial"/>
          <w:color w:val="111827"/>
          <w:sz w:val="19"/>
          <w:szCs w:val="19"/>
        </w:rPr>
        <w:t xml:space="preserve">External correspondence volume — IRS, client, third parties, financial institutions per engagement</w:t>
      </w:r>
    </w:p>
    <w:p>
      <w:pPr>
        <w:pStyle w:val="ListParagraph"/>
        <w:numPr>
          <w:ilvl w:val="0"/>
          <w:numId w:val="2"/>
        </w:numPr>
        <w:spacing w:after="40" w:before="40"/>
      </w:pPr>
      <w:r>
        <w:rPr>
          <w:rFonts w:ascii="Arial" w:cs="Arial" w:eastAsia="Arial" w:hAnsi="Arial"/>
          <w:color w:val="111827"/>
          <w:sz w:val="19"/>
          <w:szCs w:val="19"/>
        </w:rPr>
        <w:t xml:space="preserve">K-1 dependency flag — whether engagement is waiting on external K-1s, delay duration caused</w:t>
      </w:r>
    </w:p>
    <w:p>
      <w:pPr>
        <w:pStyle w:val="ListParagraph"/>
        <w:numPr>
          <w:ilvl w:val="0"/>
          <w:numId w:val="2"/>
        </w:numPr>
        <w:spacing w:after="40" w:before="40"/>
      </w:pPr>
      <w:r>
        <w:rPr>
          <w:rFonts w:ascii="Arial" w:cs="Arial" w:eastAsia="Arial" w:hAnsi="Arial"/>
          <w:color w:val="111827"/>
          <w:sz w:val="19"/>
          <w:szCs w:val="19"/>
        </w:rPr>
        <w:t xml:space="preserve">Prior year comparison delta — magnitude of year over year change in return complexity</w:t>
      </w:r>
    </w:p>
    <w:p>
      <w:pPr>
        <w:pStyle w:val="ListParagraph"/>
        <w:numPr>
          <w:ilvl w:val="0"/>
          <w:numId w:val="2"/>
        </w:numPr>
        <w:spacing w:after="40" w:before="40"/>
      </w:pPr>
      <w:r>
        <w:rPr>
          <w:rFonts w:ascii="Arial" w:cs="Arial" w:eastAsia="Arial" w:hAnsi="Arial"/>
          <w:color w:val="111827"/>
          <w:sz w:val="19"/>
          <w:szCs w:val="19"/>
        </w:rPr>
        <w:t xml:space="preserve">Revision cycles — how many times reviewed and sent back before final</w:t>
      </w:r>
    </w:p>
    <w:p>
      <w:pPr>
        <w:pStyle w:val="ListParagraph"/>
        <w:numPr>
          <w:ilvl w:val="0"/>
          <w:numId w:val="2"/>
        </w:numPr>
        <w:spacing w:after="40" w:before="40"/>
      </w:pPr>
      <w:r>
        <w:rPr>
          <w:rFonts w:ascii="Arial" w:cs="Arial" w:eastAsia="Arial" w:hAnsi="Arial"/>
          <w:color w:val="111827"/>
          <w:sz w:val="19"/>
          <w:szCs w:val="19"/>
        </w:rPr>
        <w:t xml:space="preserve">Amended return flag — whether engagement resulted in an amended return</w:t>
      </w:r>
    </w:p>
    <w:p>
      <w:pPr>
        <w:pStyle w:val="ListParagraph"/>
        <w:numPr>
          <w:ilvl w:val="0"/>
          <w:numId w:val="2"/>
        </w:numPr>
        <w:spacing w:after="40" w:before="40"/>
      </w:pPr>
      <w:r>
        <w:rPr>
          <w:rFonts w:ascii="Arial" w:cs="Arial" w:eastAsia="Arial" w:hAnsi="Arial"/>
          <w:color w:val="111827"/>
          <w:sz w:val="19"/>
          <w:szCs w:val="19"/>
        </w:rPr>
        <w:t xml:space="preserve">IRS correspondence generated — notices, audits, correspondence linked to this engagement</w:t>
      </w:r>
    </w:p>
    <w:p>
      <w:pPr>
        <w:pStyle w:val="ListParagraph"/>
        <w:numPr>
          <w:ilvl w:val="0"/>
          <w:numId w:val="2"/>
        </w:numPr>
        <w:spacing w:after="40" w:before="40"/>
      </w:pPr>
      <w:r>
        <w:rPr>
          <w:rFonts w:ascii="Arial" w:cs="Arial" w:eastAsia="Arial" w:hAnsi="Arial"/>
          <w:color w:val="111827"/>
          <w:sz w:val="19"/>
          <w:szCs w:val="19"/>
        </w:rPr>
        <w:t xml:space="preserve">Scope creep signal — hours consumed versus hours typical for this engagement type and complexity at this stage</w:t>
      </w:r>
    </w:p>
    <w:p>
      <w:pPr>
        <w:pStyle w:val="Heading2"/>
        <w:spacing w:after="100" w:before="280"/>
      </w:pPr>
      <w:r>
        <w:rPr>
          <w:rFonts w:ascii="Arial" w:cs="Arial" w:eastAsia="Arial" w:hAnsi="Arial"/>
          <w:b/>
          <w:bCs/>
          <w:color w:val="1F3148"/>
          <w:sz w:val="22"/>
          <w:szCs w:val="22"/>
        </w:rPr>
        <w:t xml:space="preserve">Complexity Flag Tracking — Each as Discrete Binary</w:t>
      </w:r>
    </w:p>
    <w:p>
      <w:pPr>
        <w:pStyle w:val="ListParagraph"/>
        <w:numPr>
          <w:ilvl w:val="0"/>
          <w:numId w:val="2"/>
        </w:numPr>
        <w:spacing w:after="40" w:before="40"/>
      </w:pPr>
      <w:r>
        <w:rPr>
          <w:rFonts w:ascii="Arial" w:cs="Arial" w:eastAsia="Arial" w:hAnsi="Arial"/>
          <w:color w:val="111827"/>
          <w:sz w:val="19"/>
          <w:szCs w:val="19"/>
        </w:rPr>
        <w:t xml:space="preserve">Rental property present</w:t>
      </w:r>
    </w:p>
    <w:p>
      <w:pPr>
        <w:pStyle w:val="ListParagraph"/>
        <w:numPr>
          <w:ilvl w:val="0"/>
          <w:numId w:val="2"/>
        </w:numPr>
        <w:spacing w:after="40" w:before="40"/>
      </w:pPr>
      <w:r>
        <w:rPr>
          <w:rFonts w:ascii="Arial" w:cs="Arial" w:eastAsia="Arial" w:hAnsi="Arial"/>
          <w:color w:val="111827"/>
          <w:sz w:val="19"/>
          <w:szCs w:val="19"/>
        </w:rPr>
        <w:t xml:space="preserve">K-1 involvement</w:t>
      </w:r>
    </w:p>
    <w:p>
      <w:pPr>
        <w:pStyle w:val="ListParagraph"/>
        <w:numPr>
          <w:ilvl w:val="0"/>
          <w:numId w:val="2"/>
        </w:numPr>
        <w:spacing w:after="40" w:before="40"/>
      </w:pPr>
      <w:r>
        <w:rPr>
          <w:rFonts w:ascii="Arial" w:cs="Arial" w:eastAsia="Arial" w:hAnsi="Arial"/>
          <w:color w:val="111827"/>
          <w:sz w:val="19"/>
          <w:szCs w:val="19"/>
        </w:rPr>
        <w:t xml:space="preserve">Foreign accounts or FBAR requirement</w:t>
      </w:r>
    </w:p>
    <w:p>
      <w:pPr>
        <w:pStyle w:val="ListParagraph"/>
        <w:numPr>
          <w:ilvl w:val="0"/>
          <w:numId w:val="2"/>
        </w:numPr>
        <w:spacing w:after="40" w:before="40"/>
      </w:pPr>
      <w:r>
        <w:rPr>
          <w:rFonts w:ascii="Arial" w:cs="Arial" w:eastAsia="Arial" w:hAnsi="Arial"/>
          <w:color w:val="111827"/>
          <w:sz w:val="19"/>
          <w:szCs w:val="19"/>
        </w:rPr>
        <w:t xml:space="preserve">Depreciation schedules</w:t>
      </w:r>
    </w:p>
    <w:p>
      <w:pPr>
        <w:pStyle w:val="ListParagraph"/>
        <w:numPr>
          <w:ilvl w:val="0"/>
          <w:numId w:val="2"/>
        </w:numPr>
        <w:spacing w:after="40" w:before="40"/>
      </w:pPr>
      <w:r>
        <w:rPr>
          <w:rFonts w:ascii="Arial" w:cs="Arial" w:eastAsia="Arial" w:hAnsi="Arial"/>
          <w:color w:val="111827"/>
          <w:sz w:val="19"/>
          <w:szCs w:val="19"/>
        </w:rPr>
        <w:t xml:space="preserve">Home office deduction</w:t>
      </w:r>
    </w:p>
    <w:p>
      <w:pPr>
        <w:pStyle w:val="ListParagraph"/>
        <w:numPr>
          <w:ilvl w:val="0"/>
          <w:numId w:val="2"/>
        </w:numPr>
        <w:spacing w:after="40" w:before="40"/>
      </w:pPr>
      <w:r>
        <w:rPr>
          <w:rFonts w:ascii="Arial" w:cs="Arial" w:eastAsia="Arial" w:hAnsi="Arial"/>
          <w:color w:val="111827"/>
          <w:sz w:val="19"/>
          <w:szCs w:val="19"/>
        </w:rPr>
        <w:t xml:space="preserve">Multiple states</w:t>
      </w:r>
    </w:p>
    <w:p>
      <w:pPr>
        <w:pStyle w:val="ListParagraph"/>
        <w:numPr>
          <w:ilvl w:val="0"/>
          <w:numId w:val="2"/>
        </w:numPr>
        <w:spacing w:after="40" w:before="40"/>
      </w:pPr>
      <w:r>
        <w:rPr>
          <w:rFonts w:ascii="Arial" w:cs="Arial" w:eastAsia="Arial" w:hAnsi="Arial"/>
          <w:color w:val="111827"/>
          <w:sz w:val="19"/>
          <w:szCs w:val="19"/>
        </w:rPr>
        <w:t xml:space="preserve">Trust or estate involvement</w:t>
      </w:r>
    </w:p>
    <w:p>
      <w:pPr>
        <w:pStyle w:val="ListParagraph"/>
        <w:numPr>
          <w:ilvl w:val="0"/>
          <w:numId w:val="2"/>
        </w:numPr>
        <w:spacing w:after="40" w:before="40"/>
      </w:pPr>
      <w:r>
        <w:rPr>
          <w:rFonts w:ascii="Arial" w:cs="Arial" w:eastAsia="Arial" w:hAnsi="Arial"/>
          <w:color w:val="111827"/>
          <w:sz w:val="19"/>
          <w:szCs w:val="19"/>
        </w:rPr>
        <w:t xml:space="preserve">Business sale or disposition</w:t>
      </w:r>
    </w:p>
    <w:p>
      <w:pPr>
        <w:pStyle w:val="ListParagraph"/>
        <w:numPr>
          <w:ilvl w:val="0"/>
          <w:numId w:val="2"/>
        </w:numPr>
        <w:spacing w:after="40" w:before="40"/>
      </w:pPr>
      <w:r>
        <w:rPr>
          <w:rFonts w:ascii="Arial" w:cs="Arial" w:eastAsia="Arial" w:hAnsi="Arial"/>
          <w:color w:val="111827"/>
          <w:sz w:val="19"/>
          <w:szCs w:val="19"/>
        </w:rPr>
        <w:t xml:space="preserve">Equity compensation or ISO RSU</w:t>
      </w:r>
    </w:p>
    <w:p>
      <w:pPr>
        <w:pStyle w:val="ListParagraph"/>
        <w:numPr>
          <w:ilvl w:val="0"/>
          <w:numId w:val="2"/>
        </w:numPr>
        <w:spacing w:after="40" w:before="40"/>
      </w:pPr>
      <w:r>
        <w:rPr>
          <w:rFonts w:ascii="Arial" w:cs="Arial" w:eastAsia="Arial" w:hAnsi="Arial"/>
          <w:color w:val="111827"/>
          <w:sz w:val="19"/>
          <w:szCs w:val="19"/>
        </w:rPr>
        <w:t xml:space="preserve">Cryptocurrency transactions</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02 — Document Domain</w:t>
      </w:r>
    </w:p>
    <w:p>
      <w:pPr>
        <w:spacing w:after="160" w:before="80"/>
      </w:pPr>
      <w:r>
        <w:rPr>
          <w:rFonts w:ascii="Arial" w:cs="Arial" w:eastAsia="Arial" w:hAnsi="Arial"/>
          <w:i/>
          <w:iCs/>
          <w:color w:val="6B7280"/>
          <w:sz w:val="20"/>
          <w:szCs w:val="20"/>
        </w:rPr>
        <w:t xml:space="preserve">Every event related to document requests, uploads, signatures, and file management.</w:t>
      </w:r>
    </w:p>
    <w:p>
      <w:pPr>
        <w:pStyle w:val="Heading2"/>
        <w:spacing w:after="100" w:before="280"/>
      </w:pPr>
      <w:r>
        <w:rPr>
          <w:rFonts w:ascii="Arial" w:cs="Arial" w:eastAsia="Arial" w:hAnsi="Arial"/>
          <w:b/>
          <w:bCs/>
          <w:color w:val="1F3148"/>
          <w:sz w:val="22"/>
          <w:szCs w:val="22"/>
        </w:rPr>
        <w:t xml:space="preserve">Document Request Events</w:t>
      </w:r>
    </w:p>
    <w:p>
      <w:pPr>
        <w:pStyle w:val="ListParagraph"/>
        <w:numPr>
          <w:ilvl w:val="0"/>
          <w:numId w:val="2"/>
        </w:numPr>
        <w:spacing w:after="40" w:before="40"/>
      </w:pPr>
      <w:r>
        <w:rPr>
          <w:rFonts w:ascii="Arial" w:cs="Arial" w:eastAsia="Arial" w:hAnsi="Arial"/>
          <w:color w:val="111827"/>
          <w:sz w:val="19"/>
          <w:szCs w:val="19"/>
        </w:rPr>
        <w:t xml:space="preserve">Document request created — number of items, engagement type, client tenure</w:t>
      </w:r>
    </w:p>
    <w:p>
      <w:pPr>
        <w:pStyle w:val="ListParagraph"/>
        <w:numPr>
          <w:ilvl w:val="0"/>
          <w:numId w:val="2"/>
        </w:numPr>
        <w:spacing w:after="40" w:before="40"/>
      </w:pPr>
      <w:r>
        <w:rPr>
          <w:rFonts w:ascii="Arial" w:cs="Arial" w:eastAsia="Arial" w:hAnsi="Arial"/>
          <w:color w:val="111827"/>
          <w:sz w:val="19"/>
          <w:szCs w:val="19"/>
        </w:rPr>
        <w:t xml:space="preserve">Document request sent — time since engagement creation</w:t>
      </w:r>
    </w:p>
    <w:p>
      <w:pPr>
        <w:pStyle w:val="ListParagraph"/>
        <w:numPr>
          <w:ilvl w:val="0"/>
          <w:numId w:val="2"/>
        </w:numPr>
        <w:spacing w:after="40" w:before="40"/>
      </w:pPr>
      <w:r>
        <w:rPr>
          <w:rFonts w:ascii="Arial" w:cs="Arial" w:eastAsia="Arial" w:hAnsi="Arial"/>
          <w:color w:val="111827"/>
          <w:sz w:val="19"/>
          <w:szCs w:val="19"/>
        </w:rPr>
        <w:t xml:space="preserve">Document request item uploaded — which item, file type, file size, time since request sent, attempt number</w:t>
      </w:r>
    </w:p>
    <w:p>
      <w:pPr>
        <w:pStyle w:val="ListParagraph"/>
        <w:numPr>
          <w:ilvl w:val="0"/>
          <w:numId w:val="2"/>
        </w:numPr>
        <w:spacing w:after="40" w:before="40"/>
      </w:pPr>
      <w:r>
        <w:rPr>
          <w:rFonts w:ascii="Arial" w:cs="Arial" w:eastAsia="Arial" w:hAnsi="Arial"/>
          <w:color w:val="111827"/>
          <w:sz w:val="19"/>
          <w:szCs w:val="19"/>
        </w:rPr>
        <w:t xml:space="preserve">Document request reminder sent — reminder number, days since last reminder, days since request sent, channel used</w:t>
      </w:r>
    </w:p>
    <w:p>
      <w:pPr>
        <w:pStyle w:val="ListParagraph"/>
        <w:numPr>
          <w:ilvl w:val="0"/>
          <w:numId w:val="2"/>
        </w:numPr>
        <w:spacing w:after="40" w:before="40"/>
      </w:pPr>
      <w:r>
        <w:rPr>
          <w:rFonts w:ascii="Arial" w:cs="Arial" w:eastAsia="Arial" w:hAnsi="Arial"/>
          <w:color w:val="111827"/>
          <w:sz w:val="19"/>
          <w:szCs w:val="19"/>
        </w:rPr>
        <w:t xml:space="preserve">Document request completed — total duration, reminder count, item count, items waived</w:t>
      </w:r>
    </w:p>
    <w:p>
      <w:pPr>
        <w:pStyle w:val="ListParagraph"/>
        <w:numPr>
          <w:ilvl w:val="0"/>
          <w:numId w:val="2"/>
        </w:numPr>
        <w:spacing w:after="40" w:before="40"/>
      </w:pPr>
      <w:r>
        <w:rPr>
          <w:rFonts w:ascii="Arial" w:cs="Arial" w:eastAsia="Arial" w:hAnsi="Arial"/>
          <w:color w:val="111827"/>
          <w:sz w:val="19"/>
          <w:szCs w:val="19"/>
        </w:rPr>
        <w:t xml:space="preserve">Document request item waived — which item, who waived, reason if captured</w:t>
      </w:r>
    </w:p>
    <w:p>
      <w:pPr>
        <w:pStyle w:val="ListParagraph"/>
        <w:numPr>
          <w:ilvl w:val="0"/>
          <w:numId w:val="2"/>
        </w:numPr>
        <w:spacing w:after="40" w:before="40"/>
      </w:pPr>
      <w:r>
        <w:rPr>
          <w:rFonts w:ascii="Arial" w:cs="Arial" w:eastAsia="Arial" w:hAnsi="Arial"/>
          <w:color w:val="111827"/>
          <w:sz w:val="19"/>
          <w:szCs w:val="19"/>
        </w:rPr>
        <w:t xml:space="preserve">Failed upload attempts — when a client starts but abandons an upload</w:t>
      </w:r>
    </w:p>
    <w:p>
      <w:pPr>
        <w:pStyle w:val="ListParagraph"/>
        <w:numPr>
          <w:ilvl w:val="0"/>
          <w:numId w:val="2"/>
        </w:numPr>
        <w:spacing w:after="40" w:before="40"/>
      </w:pPr>
      <w:r>
        <w:rPr>
          <w:rFonts w:ascii="Arial" w:cs="Arial" w:eastAsia="Arial" w:hAnsi="Arial"/>
          <w:color w:val="111827"/>
          <w:sz w:val="19"/>
          <w:szCs w:val="19"/>
        </w:rPr>
        <w:t xml:space="preserve">Upload sequence pattern per client — batch uploader versus drip uploader classification</w:t>
      </w:r>
    </w:p>
    <w:p>
      <w:pPr>
        <w:pStyle w:val="Heading2"/>
        <w:spacing w:after="100" w:before="280"/>
      </w:pPr>
      <w:r>
        <w:rPr>
          <w:rFonts w:ascii="Arial" w:cs="Arial" w:eastAsia="Arial" w:hAnsi="Arial"/>
          <w:b/>
          <w:bCs/>
          <w:color w:val="1F3148"/>
          <w:sz w:val="22"/>
          <w:szCs w:val="22"/>
        </w:rPr>
        <w:t xml:space="preserve">Document Lifecycle Events</w:t>
      </w:r>
    </w:p>
    <w:p>
      <w:pPr>
        <w:pStyle w:val="ListParagraph"/>
        <w:numPr>
          <w:ilvl w:val="0"/>
          <w:numId w:val="2"/>
        </w:numPr>
        <w:spacing w:after="40" w:before="40"/>
      </w:pPr>
      <w:r>
        <w:rPr>
          <w:rFonts w:ascii="Arial" w:cs="Arial" w:eastAsia="Arial" w:hAnsi="Arial"/>
          <w:color w:val="111827"/>
          <w:sz w:val="19"/>
          <w:szCs w:val="19"/>
        </w:rPr>
        <w:t xml:space="preserve">Document uploaded — type, file size, upload source portal versus staff, engagement context</w:t>
      </w:r>
    </w:p>
    <w:p>
      <w:pPr>
        <w:pStyle w:val="ListParagraph"/>
        <w:numPr>
          <w:ilvl w:val="0"/>
          <w:numId w:val="2"/>
        </w:numPr>
        <w:spacing w:after="40" w:before="40"/>
      </w:pPr>
      <w:r>
        <w:rPr>
          <w:rFonts w:ascii="Arial" w:cs="Arial" w:eastAsia="Arial" w:hAnsi="Arial"/>
          <w:color w:val="111827"/>
          <w:sz w:val="19"/>
          <w:szCs w:val="19"/>
        </w:rPr>
        <w:t xml:space="preserve">Document viewed — who viewed, time since upload, device type</w:t>
      </w:r>
    </w:p>
    <w:p>
      <w:pPr>
        <w:pStyle w:val="ListParagraph"/>
        <w:numPr>
          <w:ilvl w:val="0"/>
          <w:numId w:val="2"/>
        </w:numPr>
        <w:spacing w:after="40" w:before="40"/>
      </w:pPr>
      <w:r>
        <w:rPr>
          <w:rFonts w:ascii="Arial" w:cs="Arial" w:eastAsia="Arial" w:hAnsi="Arial"/>
          <w:color w:val="111827"/>
          <w:sz w:val="19"/>
          <w:szCs w:val="19"/>
        </w:rPr>
        <w:t xml:space="preserve">Document downloaded — who downloaded, time since upload</w:t>
      </w:r>
    </w:p>
    <w:p>
      <w:pPr>
        <w:pStyle w:val="ListParagraph"/>
        <w:numPr>
          <w:ilvl w:val="0"/>
          <w:numId w:val="2"/>
        </w:numPr>
        <w:spacing w:after="40" w:before="40"/>
      </w:pPr>
      <w:r>
        <w:rPr>
          <w:rFonts w:ascii="Arial" w:cs="Arial" w:eastAsia="Arial" w:hAnsi="Arial"/>
          <w:color w:val="111827"/>
          <w:sz w:val="19"/>
          <w:szCs w:val="19"/>
        </w:rPr>
        <w:t xml:space="preserve">Document signed — signature type, time from sent to signed, reminder count before signing</w:t>
      </w:r>
    </w:p>
    <w:p>
      <w:pPr>
        <w:pStyle w:val="ListParagraph"/>
        <w:numPr>
          <w:ilvl w:val="0"/>
          <w:numId w:val="2"/>
        </w:numPr>
        <w:spacing w:after="40" w:before="40"/>
      </w:pPr>
      <w:r>
        <w:rPr>
          <w:rFonts w:ascii="Arial" w:cs="Arial" w:eastAsia="Arial" w:hAnsi="Arial"/>
          <w:color w:val="111827"/>
          <w:sz w:val="19"/>
          <w:szCs w:val="19"/>
        </w:rPr>
        <w:t xml:space="preserve">Document deleted — who deleted, time since upload, reason if captured</w:t>
      </w:r>
    </w:p>
    <w:p>
      <w:pPr>
        <w:pStyle w:val="Heading2"/>
        <w:spacing w:after="100" w:before="280"/>
      </w:pPr>
      <w:r>
        <w:rPr>
          <w:rFonts w:ascii="Arial" w:cs="Arial" w:eastAsia="Arial" w:hAnsi="Arial"/>
          <w:b/>
          <w:bCs/>
          <w:color w:val="1F3148"/>
          <w:sz w:val="22"/>
          <w:szCs w:val="22"/>
        </w:rPr>
        <w:t xml:space="preserve">Derived Document Metrics</w:t>
      </w:r>
    </w:p>
    <w:p>
      <w:pPr>
        <w:pStyle w:val="ListParagraph"/>
        <w:numPr>
          <w:ilvl w:val="0"/>
          <w:numId w:val="2"/>
        </w:numPr>
        <w:spacing w:after="40" w:before="40"/>
      </w:pPr>
      <w:r>
        <w:rPr>
          <w:rFonts w:ascii="Arial" w:cs="Arial" w:eastAsia="Arial" w:hAnsi="Arial"/>
          <w:color w:val="111827"/>
          <w:sz w:val="19"/>
          <w:szCs w:val="19"/>
        </w:rPr>
        <w:t xml:space="preserve">Average days from request sent to each individual document type received</w:t>
      </w:r>
    </w:p>
    <w:p>
      <w:pPr>
        <w:pStyle w:val="ListParagraph"/>
        <w:numPr>
          <w:ilvl w:val="0"/>
          <w:numId w:val="2"/>
        </w:numPr>
        <w:spacing w:after="40" w:before="40"/>
      </w:pPr>
      <w:r>
        <w:rPr>
          <w:rFonts w:ascii="Arial" w:cs="Arial" w:eastAsia="Arial" w:hAnsi="Arial"/>
          <w:color w:val="111827"/>
          <w:sz w:val="19"/>
          <w:szCs w:val="19"/>
        </w:rPr>
        <w:t xml:space="preserve">Reminder count required per document type historically</w:t>
      </w:r>
    </w:p>
    <w:p>
      <w:pPr>
        <w:pStyle w:val="ListParagraph"/>
        <w:numPr>
          <w:ilvl w:val="0"/>
          <w:numId w:val="2"/>
        </w:numPr>
        <w:spacing w:after="40" w:before="40"/>
      </w:pPr>
      <w:r>
        <w:rPr>
          <w:rFonts w:ascii="Arial" w:cs="Arial" w:eastAsia="Arial" w:hAnsi="Arial"/>
          <w:color w:val="111827"/>
          <w:sz w:val="19"/>
          <w:szCs w:val="19"/>
        </w:rPr>
        <w:t xml:space="preserve">Portal upload rate versus staff upload rate</w:t>
      </w:r>
    </w:p>
    <w:p>
      <w:pPr>
        <w:pStyle w:val="ListParagraph"/>
        <w:numPr>
          <w:ilvl w:val="0"/>
          <w:numId w:val="2"/>
        </w:numPr>
        <w:spacing w:after="40" w:before="40"/>
      </w:pPr>
      <w:r>
        <w:rPr>
          <w:rFonts w:ascii="Arial" w:cs="Arial" w:eastAsia="Arial" w:hAnsi="Arial"/>
          <w:color w:val="111827"/>
          <w:sz w:val="19"/>
          <w:szCs w:val="19"/>
        </w:rPr>
        <w:t xml:space="preserve">Document collection completion rate per engagement type</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03 — Invoice and Billing Domain</w:t>
      </w:r>
    </w:p>
    <w:p>
      <w:pPr>
        <w:spacing w:after="160" w:before="80"/>
      </w:pPr>
      <w:r>
        <w:rPr>
          <w:rFonts w:ascii="Arial" w:cs="Arial" w:eastAsia="Arial" w:hAnsi="Arial"/>
          <w:i/>
          <w:iCs/>
          <w:color w:val="6B7280"/>
          <w:sz w:val="20"/>
          <w:szCs w:val="20"/>
        </w:rPr>
        <w:t xml:space="preserve">Every financial event from invoice creation through payment, refund, or write-off.</w:t>
      </w:r>
    </w:p>
    <w:p>
      <w:pPr>
        <w:pStyle w:val="Heading2"/>
        <w:spacing w:after="100" w:before="280"/>
      </w:pPr>
      <w:r>
        <w:rPr>
          <w:rFonts w:ascii="Arial" w:cs="Arial" w:eastAsia="Arial" w:hAnsi="Arial"/>
          <w:b/>
          <w:bCs/>
          <w:color w:val="1F3148"/>
          <w:sz w:val="22"/>
          <w:szCs w:val="22"/>
        </w:rPr>
        <w:t xml:space="preserve">Invoice Lifecycle Events</w:t>
      </w:r>
    </w:p>
    <w:p>
      <w:pPr>
        <w:pStyle w:val="ListParagraph"/>
        <w:numPr>
          <w:ilvl w:val="0"/>
          <w:numId w:val="2"/>
        </w:numPr>
        <w:spacing w:after="40" w:before="40"/>
      </w:pPr>
      <w:r>
        <w:rPr>
          <w:rFonts w:ascii="Arial" w:cs="Arial" w:eastAsia="Arial" w:hAnsi="Arial"/>
          <w:color w:val="111827"/>
          <w:sz w:val="19"/>
          <w:szCs w:val="19"/>
        </w:rPr>
        <w:t xml:space="preserve">Invoice created — amount, line item count, engagement linked, time entries linked, created manually or from time entries</w:t>
      </w:r>
    </w:p>
    <w:p>
      <w:pPr>
        <w:pStyle w:val="ListParagraph"/>
        <w:numPr>
          <w:ilvl w:val="0"/>
          <w:numId w:val="2"/>
        </w:numPr>
        <w:spacing w:after="40" w:before="40"/>
      </w:pPr>
      <w:r>
        <w:rPr>
          <w:rFonts w:ascii="Arial" w:cs="Arial" w:eastAsia="Arial" w:hAnsi="Arial"/>
          <w:color w:val="111827"/>
          <w:sz w:val="19"/>
          <w:szCs w:val="19"/>
        </w:rPr>
        <w:t xml:space="preserve">Invoice sent — time since creation, delivery method, amount, client tenure</w:t>
      </w:r>
    </w:p>
    <w:p>
      <w:pPr>
        <w:pStyle w:val="ListParagraph"/>
        <w:numPr>
          <w:ilvl w:val="0"/>
          <w:numId w:val="2"/>
        </w:numPr>
        <w:spacing w:after="40" w:before="40"/>
      </w:pPr>
      <w:r>
        <w:rPr>
          <w:rFonts w:ascii="Arial" w:cs="Arial" w:eastAsia="Arial" w:hAnsi="Arial"/>
          <w:color w:val="111827"/>
          <w:sz w:val="19"/>
          <w:szCs w:val="19"/>
        </w:rPr>
        <w:t xml:space="preserve">Invoice viewed — by client, time since sent, device type, number of views before payment</w:t>
      </w:r>
    </w:p>
    <w:p>
      <w:pPr>
        <w:pStyle w:val="ListParagraph"/>
        <w:numPr>
          <w:ilvl w:val="0"/>
          <w:numId w:val="2"/>
        </w:numPr>
        <w:spacing w:after="40" w:before="40"/>
      </w:pPr>
      <w:r>
        <w:rPr>
          <w:rFonts w:ascii="Arial" w:cs="Arial" w:eastAsia="Arial" w:hAnsi="Arial"/>
          <w:color w:val="111827"/>
          <w:sz w:val="19"/>
          <w:szCs w:val="19"/>
        </w:rPr>
        <w:t xml:space="preserve">Invoice paid — amount, payment method, time since sent, time since viewed, partial or full, reminder count before payment</w:t>
      </w:r>
    </w:p>
    <w:p>
      <w:pPr>
        <w:pStyle w:val="ListParagraph"/>
        <w:numPr>
          <w:ilvl w:val="0"/>
          <w:numId w:val="2"/>
        </w:numPr>
        <w:spacing w:after="40" w:before="40"/>
      </w:pPr>
      <w:r>
        <w:rPr>
          <w:rFonts w:ascii="Arial" w:cs="Arial" w:eastAsia="Arial" w:hAnsi="Arial"/>
          <w:color w:val="111827"/>
          <w:sz w:val="19"/>
          <w:szCs w:val="19"/>
        </w:rPr>
        <w:t xml:space="preserve">Invoice partial payment — amount paid, remaining balance, time since sent</w:t>
      </w:r>
    </w:p>
    <w:p>
      <w:pPr>
        <w:pStyle w:val="ListParagraph"/>
        <w:numPr>
          <w:ilvl w:val="0"/>
          <w:numId w:val="2"/>
        </w:numPr>
        <w:spacing w:after="40" w:before="40"/>
      </w:pPr>
      <w:r>
        <w:rPr>
          <w:rFonts w:ascii="Arial" w:cs="Arial" w:eastAsia="Arial" w:hAnsi="Arial"/>
          <w:color w:val="111827"/>
          <w:sz w:val="19"/>
          <w:szCs w:val="19"/>
        </w:rPr>
        <w:t xml:space="preserve">Invoice overdue — days overdue at first overdue event, amount</w:t>
      </w:r>
    </w:p>
    <w:p>
      <w:pPr>
        <w:pStyle w:val="ListParagraph"/>
        <w:numPr>
          <w:ilvl w:val="0"/>
          <w:numId w:val="2"/>
        </w:numPr>
        <w:spacing w:after="40" w:before="40"/>
      </w:pPr>
      <w:r>
        <w:rPr>
          <w:rFonts w:ascii="Arial" w:cs="Arial" w:eastAsia="Arial" w:hAnsi="Arial"/>
          <w:color w:val="111827"/>
          <w:sz w:val="19"/>
          <w:szCs w:val="19"/>
        </w:rPr>
        <w:t xml:space="preserve">Invoice reminder sent — reminder number, days since sent, days overdue, channel</w:t>
      </w:r>
    </w:p>
    <w:p>
      <w:pPr>
        <w:pStyle w:val="ListParagraph"/>
        <w:numPr>
          <w:ilvl w:val="0"/>
          <w:numId w:val="2"/>
        </w:numPr>
        <w:spacing w:after="40" w:before="40"/>
      </w:pPr>
      <w:r>
        <w:rPr>
          <w:rFonts w:ascii="Arial" w:cs="Arial" w:eastAsia="Arial" w:hAnsi="Arial"/>
          <w:color w:val="111827"/>
          <w:sz w:val="19"/>
          <w:szCs w:val="19"/>
        </w:rPr>
        <w:t xml:space="preserve">Invoice voided — who voided, time since creation, amount, reason if captured</w:t>
      </w:r>
    </w:p>
    <w:p>
      <w:pPr>
        <w:pStyle w:val="ListParagraph"/>
        <w:numPr>
          <w:ilvl w:val="0"/>
          <w:numId w:val="2"/>
        </w:numPr>
        <w:spacing w:after="40" w:before="40"/>
      </w:pPr>
      <w:r>
        <w:rPr>
          <w:rFonts w:ascii="Arial" w:cs="Arial" w:eastAsia="Arial" w:hAnsi="Arial"/>
          <w:color w:val="111827"/>
          <w:sz w:val="19"/>
          <w:szCs w:val="19"/>
        </w:rPr>
        <w:t xml:space="preserve">Invoice refunded — amount, reason, time since payment</w:t>
      </w:r>
    </w:p>
    <w:p>
      <w:pPr>
        <w:pStyle w:val="ListParagraph"/>
        <w:numPr>
          <w:ilvl w:val="0"/>
          <w:numId w:val="2"/>
        </w:numPr>
        <w:spacing w:after="40" w:before="40"/>
      </w:pPr>
      <w:r>
        <w:rPr>
          <w:rFonts w:ascii="Arial" w:cs="Arial" w:eastAsia="Arial" w:hAnsi="Arial"/>
          <w:color w:val="111827"/>
          <w:sz w:val="19"/>
          <w:szCs w:val="19"/>
        </w:rPr>
        <w:t xml:space="preserve">Invoice adjusted downward before sending — discount amount, who approved, reason if captured</w:t>
      </w:r>
    </w:p>
    <w:p>
      <w:pPr>
        <w:pStyle w:val="Heading2"/>
        <w:spacing w:after="100" w:before="280"/>
      </w:pPr>
      <w:r>
        <w:rPr>
          <w:rFonts w:ascii="Arial" w:cs="Arial" w:eastAsia="Arial" w:hAnsi="Arial"/>
          <w:b/>
          <w:bCs/>
          <w:color w:val="1F3148"/>
          <w:sz w:val="22"/>
          <w:szCs w:val="22"/>
        </w:rPr>
        <w:t xml:space="preserve">Payment and Collections Intelligence</w:t>
      </w:r>
    </w:p>
    <w:p>
      <w:pPr>
        <w:pStyle w:val="ListParagraph"/>
        <w:numPr>
          <w:ilvl w:val="0"/>
          <w:numId w:val="2"/>
        </w:numPr>
        <w:spacing w:after="40" w:before="40"/>
      </w:pPr>
      <w:r>
        <w:rPr>
          <w:rFonts w:ascii="Arial" w:cs="Arial" w:eastAsia="Arial" w:hAnsi="Arial"/>
          <w:color w:val="111827"/>
          <w:sz w:val="19"/>
          <w:szCs w:val="19"/>
        </w:rPr>
        <w:t xml:space="preserve">Payment method per client — ACH versus credit card versus check, tracked per transaction</w:t>
      </w:r>
    </w:p>
    <w:p>
      <w:pPr>
        <w:pStyle w:val="ListParagraph"/>
        <w:numPr>
          <w:ilvl w:val="0"/>
          <w:numId w:val="2"/>
        </w:numPr>
        <w:spacing w:after="40" w:before="40"/>
      </w:pPr>
      <w:r>
        <w:rPr>
          <w:rFonts w:ascii="Arial" w:cs="Arial" w:eastAsia="Arial" w:hAnsi="Arial"/>
          <w:color w:val="111827"/>
          <w:sz w:val="19"/>
          <w:szCs w:val="19"/>
        </w:rPr>
        <w:t xml:space="preserve">Time from engagement completion to invoice sent</w:t>
      </w:r>
    </w:p>
    <w:p>
      <w:pPr>
        <w:pStyle w:val="ListParagraph"/>
        <w:numPr>
          <w:ilvl w:val="0"/>
          <w:numId w:val="2"/>
        </w:numPr>
        <w:spacing w:after="40" w:before="40"/>
      </w:pPr>
      <w:r>
        <w:rPr>
          <w:rFonts w:ascii="Arial" w:cs="Arial" w:eastAsia="Arial" w:hAnsi="Arial"/>
          <w:color w:val="111827"/>
          <w:sz w:val="19"/>
          <w:szCs w:val="19"/>
        </w:rPr>
        <w:t xml:space="preserve">Late fee assessed — amount, client, engagement</w:t>
      </w:r>
    </w:p>
    <w:p>
      <w:pPr>
        <w:pStyle w:val="ListParagraph"/>
        <w:numPr>
          <w:ilvl w:val="0"/>
          <w:numId w:val="2"/>
        </w:numPr>
        <w:spacing w:after="40" w:before="40"/>
      </w:pPr>
      <w:r>
        <w:rPr>
          <w:rFonts w:ascii="Arial" w:cs="Arial" w:eastAsia="Arial" w:hAnsi="Arial"/>
          <w:color w:val="111827"/>
          <w:sz w:val="19"/>
          <w:szCs w:val="19"/>
        </w:rPr>
        <w:t xml:space="preserve">Late fee waived — who waived, reason, amount forgiven</w:t>
      </w:r>
    </w:p>
    <w:p>
      <w:pPr>
        <w:pStyle w:val="ListParagraph"/>
        <w:numPr>
          <w:ilvl w:val="0"/>
          <w:numId w:val="2"/>
        </w:numPr>
        <w:spacing w:after="40" w:before="40"/>
      </w:pPr>
      <w:r>
        <w:rPr>
          <w:rFonts w:ascii="Arial" w:cs="Arial" w:eastAsia="Arial" w:hAnsi="Arial"/>
          <w:color w:val="111827"/>
          <w:sz w:val="19"/>
          <w:szCs w:val="19"/>
        </w:rPr>
        <w:t xml:space="preserve">Payment plan arrangement — installment amounts, schedule, completion rate</w:t>
      </w:r>
    </w:p>
    <w:p>
      <w:pPr>
        <w:pStyle w:val="ListParagraph"/>
        <w:numPr>
          <w:ilvl w:val="0"/>
          <w:numId w:val="2"/>
        </w:numPr>
        <w:spacing w:after="40" w:before="40"/>
      </w:pPr>
      <w:r>
        <w:rPr>
          <w:rFonts w:ascii="Arial" w:cs="Arial" w:eastAsia="Arial" w:hAnsi="Arial"/>
          <w:color w:val="111827"/>
          <w:sz w:val="19"/>
          <w:szCs w:val="19"/>
        </w:rPr>
        <w:t xml:space="preserve">Write-off event — amount written off, who decided, client, engagement type</w:t>
      </w:r>
    </w:p>
    <w:p>
      <w:pPr>
        <w:pStyle w:val="Heading2"/>
        <w:spacing w:after="100" w:before="280"/>
      </w:pPr>
      <w:r>
        <w:rPr>
          <w:rFonts w:ascii="Arial" w:cs="Arial" w:eastAsia="Arial" w:hAnsi="Arial"/>
          <w:b/>
          <w:bCs/>
          <w:color w:val="1F3148"/>
          <w:sz w:val="22"/>
          <w:szCs w:val="22"/>
        </w:rPr>
        <w:t xml:space="preserve">Financial Intelligence Metrics</w:t>
      </w:r>
    </w:p>
    <w:p>
      <w:pPr>
        <w:pStyle w:val="ListParagraph"/>
        <w:numPr>
          <w:ilvl w:val="0"/>
          <w:numId w:val="2"/>
        </w:numPr>
        <w:spacing w:after="40" w:before="40"/>
      </w:pPr>
      <w:r>
        <w:rPr>
          <w:rFonts w:ascii="Arial" w:cs="Arial" w:eastAsia="Arial" w:hAnsi="Arial"/>
          <w:color w:val="111827"/>
          <w:sz w:val="19"/>
          <w:szCs w:val="19"/>
        </w:rPr>
        <w:t xml:space="preserve">Realization rate per engagement — percentage of logged hours that get billed</w:t>
      </w:r>
    </w:p>
    <w:p>
      <w:pPr>
        <w:pStyle w:val="ListParagraph"/>
        <w:numPr>
          <w:ilvl w:val="0"/>
          <w:numId w:val="2"/>
        </w:numPr>
        <w:spacing w:after="40" w:before="40"/>
      </w:pPr>
      <w:r>
        <w:rPr>
          <w:rFonts w:ascii="Arial" w:cs="Arial" w:eastAsia="Arial" w:hAnsi="Arial"/>
          <w:color w:val="111827"/>
          <w:sz w:val="19"/>
          <w:szCs w:val="19"/>
        </w:rPr>
        <w:t xml:space="preserve">Effective hourly rate per engagement type — total revenue divided by total hours</w:t>
      </w:r>
    </w:p>
    <w:p>
      <w:pPr>
        <w:pStyle w:val="ListParagraph"/>
        <w:numPr>
          <w:ilvl w:val="0"/>
          <w:numId w:val="2"/>
        </w:numPr>
        <w:spacing w:after="40" w:before="40"/>
      </w:pPr>
      <w:r>
        <w:rPr>
          <w:rFonts w:ascii="Arial" w:cs="Arial" w:eastAsia="Arial" w:hAnsi="Arial"/>
          <w:color w:val="111827"/>
          <w:sz w:val="19"/>
          <w:szCs w:val="19"/>
        </w:rPr>
        <w:t xml:space="preserve">Collections aging detail — how old each receivable at time of payment</w:t>
      </w:r>
    </w:p>
    <w:p>
      <w:pPr>
        <w:pStyle w:val="ListParagraph"/>
        <w:numPr>
          <w:ilvl w:val="0"/>
          <w:numId w:val="2"/>
        </w:numPr>
        <w:spacing w:after="40" w:before="40"/>
      </w:pPr>
      <w:r>
        <w:rPr>
          <w:rFonts w:ascii="Arial" w:cs="Arial" w:eastAsia="Arial" w:hAnsi="Arial"/>
          <w:color w:val="111827"/>
          <w:sz w:val="19"/>
          <w:szCs w:val="19"/>
        </w:rPr>
        <w:t xml:space="preserve">Discount frequency and magnitude per client and firm-wide annually</w:t>
      </w:r>
    </w:p>
    <w:p>
      <w:pPr>
        <w:pStyle w:val="ListParagraph"/>
        <w:numPr>
          <w:ilvl w:val="0"/>
          <w:numId w:val="2"/>
        </w:numPr>
        <w:spacing w:after="40" w:before="40"/>
      </w:pPr>
      <w:r>
        <w:rPr>
          <w:rFonts w:ascii="Arial" w:cs="Arial" w:eastAsia="Arial" w:hAnsi="Arial"/>
          <w:color w:val="111827"/>
          <w:sz w:val="19"/>
          <w:szCs w:val="19"/>
        </w:rPr>
        <w:t xml:space="preserve">Revenue concentration — percentage of total revenue from top one, three, five clients</w:t>
      </w:r>
    </w:p>
    <w:p>
      <w:pPr>
        <w:pStyle w:val="ListParagraph"/>
        <w:numPr>
          <w:ilvl w:val="0"/>
          <w:numId w:val="2"/>
        </w:numPr>
        <w:spacing w:after="40" w:before="40"/>
      </w:pPr>
      <w:r>
        <w:rPr>
          <w:rFonts w:ascii="Arial" w:cs="Arial" w:eastAsia="Arial" w:hAnsi="Arial"/>
          <w:color w:val="111827"/>
          <w:sz w:val="19"/>
          <w:szCs w:val="19"/>
        </w:rPr>
        <w:t xml:space="preserve">Seasonal cash flow pattern — monthly revenue and collection by month across full year</w:t>
      </w:r>
    </w:p>
    <w:p>
      <w:pPr>
        <w:pStyle w:val="ListParagraph"/>
        <w:numPr>
          <w:ilvl w:val="0"/>
          <w:numId w:val="2"/>
        </w:numPr>
        <w:spacing w:after="40" w:before="40"/>
      </w:pPr>
      <w:r>
        <w:rPr>
          <w:rFonts w:ascii="Arial" w:cs="Arial" w:eastAsia="Arial" w:hAnsi="Arial"/>
          <w:color w:val="111827"/>
          <w:sz w:val="19"/>
          <w:szCs w:val="19"/>
        </w:rPr>
        <w:t xml:space="preserve">Revenue per client growth rate — year over year change per client</w:t>
      </w:r>
    </w:p>
    <w:p>
      <w:pPr>
        <w:pStyle w:val="ListParagraph"/>
        <w:numPr>
          <w:ilvl w:val="0"/>
          <w:numId w:val="2"/>
        </w:numPr>
        <w:spacing w:after="40" w:before="40"/>
      </w:pPr>
      <w:r>
        <w:rPr>
          <w:rFonts w:ascii="Arial" w:cs="Arial" w:eastAsia="Arial" w:hAnsi="Arial"/>
          <w:color w:val="111827"/>
          <w:sz w:val="19"/>
          <w:szCs w:val="19"/>
        </w:rPr>
        <w:t xml:space="preserve">Lost revenue tracking — scoped but not completed, written off entirely</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04 — Client and Portal Domain</w:t>
      </w:r>
    </w:p>
    <w:p>
      <w:pPr>
        <w:spacing w:after="160" w:before="80"/>
      </w:pPr>
      <w:r>
        <w:rPr>
          <w:rFonts w:ascii="Arial" w:cs="Arial" w:eastAsia="Arial" w:hAnsi="Arial"/>
          <w:i/>
          <w:iCs/>
          <w:color w:val="6B7280"/>
          <w:sz w:val="20"/>
          <w:szCs w:val="20"/>
        </w:rPr>
        <w:t xml:space="preserve">Every client relationship event and every portal interaction from first login through session end.</w:t>
      </w:r>
    </w:p>
    <w:p>
      <w:pPr>
        <w:pStyle w:val="Heading2"/>
        <w:spacing w:after="100" w:before="280"/>
      </w:pPr>
      <w:r>
        <w:rPr>
          <w:rFonts w:ascii="Arial" w:cs="Arial" w:eastAsia="Arial" w:hAnsi="Arial"/>
          <w:b/>
          <w:bCs/>
          <w:color w:val="1F3148"/>
          <w:sz w:val="22"/>
          <w:szCs w:val="22"/>
        </w:rPr>
        <w:t xml:space="preserve">Client Record Events</w:t>
      </w:r>
    </w:p>
    <w:p>
      <w:pPr>
        <w:pStyle w:val="ListParagraph"/>
        <w:numPr>
          <w:ilvl w:val="0"/>
          <w:numId w:val="2"/>
        </w:numPr>
        <w:spacing w:after="40" w:before="40"/>
      </w:pPr>
      <w:r>
        <w:rPr>
          <w:rFonts w:ascii="Arial" w:cs="Arial" w:eastAsia="Arial" w:hAnsi="Arial"/>
          <w:color w:val="111827"/>
          <w:sz w:val="19"/>
          <w:szCs w:val="19"/>
        </w:rPr>
        <w:t xml:space="preserve">Client created — entity type, source manual versus QBO sync versus import, assigned staff, referral source structured dropdown, referring client ID if applicable</w:t>
      </w:r>
    </w:p>
    <w:p>
      <w:pPr>
        <w:pStyle w:val="ListParagraph"/>
        <w:numPr>
          <w:ilvl w:val="0"/>
          <w:numId w:val="2"/>
        </w:numPr>
        <w:spacing w:after="40" w:before="40"/>
      </w:pPr>
      <w:r>
        <w:rPr>
          <w:rFonts w:ascii="Arial" w:cs="Arial" w:eastAsia="Arial" w:hAnsi="Arial"/>
          <w:color w:val="111827"/>
          <w:sz w:val="19"/>
          <w:szCs w:val="19"/>
        </w:rPr>
        <w:t xml:space="preserve">Client portal invited — time since client creation, invitation method</w:t>
      </w:r>
    </w:p>
    <w:p>
      <w:pPr>
        <w:pStyle w:val="ListParagraph"/>
        <w:numPr>
          <w:ilvl w:val="0"/>
          <w:numId w:val="2"/>
        </w:numPr>
        <w:spacing w:after="40" w:before="40"/>
      </w:pPr>
      <w:r>
        <w:rPr>
          <w:rFonts w:ascii="Arial" w:cs="Arial" w:eastAsia="Arial" w:hAnsi="Arial"/>
          <w:color w:val="111827"/>
          <w:sz w:val="19"/>
          <w:szCs w:val="19"/>
        </w:rPr>
        <w:t xml:space="preserve">Client QBO synced — sync direction, fields updated, conflicts resolved</w:t>
      </w:r>
    </w:p>
    <w:p>
      <w:pPr>
        <w:pStyle w:val="ListParagraph"/>
        <w:numPr>
          <w:ilvl w:val="0"/>
          <w:numId w:val="2"/>
        </w:numPr>
        <w:spacing w:after="40" w:before="40"/>
      </w:pPr>
      <w:r>
        <w:rPr>
          <w:rFonts w:ascii="Arial" w:cs="Arial" w:eastAsia="Arial" w:hAnsi="Arial"/>
          <w:color w:val="111827"/>
          <w:sz w:val="19"/>
          <w:szCs w:val="19"/>
        </w:rPr>
        <w:t xml:space="preserve">Client archived — tenure, engagement count, lifetime revenue</w:t>
      </w:r>
    </w:p>
    <w:p>
      <w:pPr>
        <w:pStyle w:val="Heading2"/>
        <w:spacing w:after="100" w:before="280"/>
      </w:pPr>
      <w:r>
        <w:rPr>
          <w:rFonts w:ascii="Arial" w:cs="Arial" w:eastAsia="Arial" w:hAnsi="Arial"/>
          <w:b/>
          <w:bCs/>
          <w:color w:val="1F3148"/>
          <w:sz w:val="22"/>
          <w:szCs w:val="22"/>
        </w:rPr>
        <w:t xml:space="preserve">Portal Behavior Events</w:t>
      </w:r>
    </w:p>
    <w:p>
      <w:pPr>
        <w:pStyle w:val="ListParagraph"/>
        <w:numPr>
          <w:ilvl w:val="0"/>
          <w:numId w:val="2"/>
        </w:numPr>
        <w:spacing w:after="40" w:before="40"/>
      </w:pPr>
      <w:r>
        <w:rPr>
          <w:rFonts w:ascii="Arial" w:cs="Arial" w:eastAsia="Arial" w:hAnsi="Arial"/>
          <w:color w:val="111827"/>
          <w:sz w:val="19"/>
          <w:szCs w:val="19"/>
        </w:rPr>
        <w:t xml:space="preserve">Portal first login — time since invitation sent, device type, time of day</w:t>
      </w:r>
    </w:p>
    <w:p>
      <w:pPr>
        <w:pStyle w:val="ListParagraph"/>
        <w:numPr>
          <w:ilvl w:val="0"/>
          <w:numId w:val="2"/>
        </w:numPr>
        <w:spacing w:after="40" w:before="40"/>
      </w:pPr>
      <w:r>
        <w:rPr>
          <w:rFonts w:ascii="Arial" w:cs="Arial" w:eastAsia="Arial" w:hAnsi="Arial"/>
          <w:color w:val="111827"/>
          <w:sz w:val="19"/>
          <w:szCs w:val="19"/>
        </w:rPr>
        <w:t xml:space="preserve">Portal login — session number, time since last login, device type, time of day, day of week</w:t>
      </w:r>
    </w:p>
    <w:p>
      <w:pPr>
        <w:pStyle w:val="ListParagraph"/>
        <w:numPr>
          <w:ilvl w:val="0"/>
          <w:numId w:val="2"/>
        </w:numPr>
        <w:spacing w:after="40" w:before="40"/>
      </w:pPr>
      <w:r>
        <w:rPr>
          <w:rFonts w:ascii="Arial" w:cs="Arial" w:eastAsia="Arial" w:hAnsi="Arial"/>
          <w:color w:val="111827"/>
          <w:sz w:val="19"/>
          <w:szCs w:val="19"/>
        </w:rPr>
        <w:t xml:space="preserve">Portal session ended — session duration, pages visited in sequence, actions taken, documents uploaded count, messages sent count</w:t>
      </w:r>
    </w:p>
    <w:p>
      <w:pPr>
        <w:pStyle w:val="ListParagraph"/>
        <w:numPr>
          <w:ilvl w:val="0"/>
          <w:numId w:val="2"/>
        </w:numPr>
        <w:spacing w:after="40" w:before="40"/>
      </w:pPr>
      <w:r>
        <w:rPr>
          <w:rFonts w:ascii="Arial" w:cs="Arial" w:eastAsia="Arial" w:hAnsi="Arial"/>
          <w:color w:val="111827"/>
          <w:sz w:val="19"/>
          <w:szCs w:val="19"/>
        </w:rPr>
        <w:t xml:space="preserve">Portal session depth — how many distinct sections visited per session</w:t>
      </w:r>
    </w:p>
    <w:p>
      <w:pPr>
        <w:pStyle w:val="ListParagraph"/>
        <w:numPr>
          <w:ilvl w:val="0"/>
          <w:numId w:val="2"/>
        </w:numPr>
        <w:spacing w:after="40" w:before="40"/>
      </w:pPr>
      <w:r>
        <w:rPr>
          <w:rFonts w:ascii="Arial" w:cs="Arial" w:eastAsia="Arial" w:hAnsi="Arial"/>
          <w:color w:val="111827"/>
          <w:sz w:val="19"/>
          <w:szCs w:val="19"/>
        </w:rPr>
        <w:t xml:space="preserve">Portal document uploaded — type, file size, time of day, associated request yes or no</w:t>
      </w:r>
    </w:p>
    <w:p>
      <w:pPr>
        <w:pStyle w:val="ListParagraph"/>
        <w:numPr>
          <w:ilvl w:val="0"/>
          <w:numId w:val="2"/>
        </w:numPr>
        <w:spacing w:after="40" w:before="40"/>
      </w:pPr>
      <w:r>
        <w:rPr>
          <w:rFonts w:ascii="Arial" w:cs="Arial" w:eastAsia="Arial" w:hAnsi="Arial"/>
          <w:color w:val="111827"/>
          <w:sz w:val="19"/>
          <w:szCs w:val="19"/>
        </w:rPr>
        <w:t xml:space="preserve">Portal message sent — message length, time of day</w:t>
      </w:r>
    </w:p>
    <w:p>
      <w:pPr>
        <w:pStyle w:val="ListParagraph"/>
        <w:numPr>
          <w:ilvl w:val="0"/>
          <w:numId w:val="2"/>
        </w:numPr>
        <w:spacing w:after="40" w:before="40"/>
      </w:pPr>
      <w:r>
        <w:rPr>
          <w:rFonts w:ascii="Arial" w:cs="Arial" w:eastAsia="Arial" w:hAnsi="Arial"/>
          <w:color w:val="111827"/>
          <w:sz w:val="19"/>
          <w:szCs w:val="19"/>
        </w:rPr>
        <w:t xml:space="preserve">Portal invoice viewed — invoice age, amount, time of day</w:t>
      </w:r>
    </w:p>
    <w:p>
      <w:pPr>
        <w:pStyle w:val="ListParagraph"/>
        <w:numPr>
          <w:ilvl w:val="0"/>
          <w:numId w:val="2"/>
        </w:numPr>
        <w:spacing w:after="40" w:before="40"/>
      </w:pPr>
      <w:r>
        <w:rPr>
          <w:rFonts w:ascii="Arial" w:cs="Arial" w:eastAsia="Arial" w:hAnsi="Arial"/>
          <w:color w:val="111827"/>
          <w:sz w:val="19"/>
          <w:szCs w:val="19"/>
        </w:rPr>
        <w:t xml:space="preserve">Portal invoice paid — time since viewed, payment method, time of day</w:t>
      </w:r>
    </w:p>
    <w:p>
      <w:pPr>
        <w:pStyle w:val="ListParagraph"/>
        <w:numPr>
          <w:ilvl w:val="0"/>
          <w:numId w:val="2"/>
        </w:numPr>
        <w:spacing w:after="40" w:before="40"/>
      </w:pPr>
      <w:r>
        <w:rPr>
          <w:rFonts w:ascii="Arial" w:cs="Arial" w:eastAsia="Arial" w:hAnsi="Arial"/>
          <w:color w:val="111827"/>
          <w:sz w:val="19"/>
          <w:szCs w:val="19"/>
        </w:rPr>
        <w:t xml:space="preserve">Portal todo completed — item type, time since item created</w:t>
      </w:r>
    </w:p>
    <w:p>
      <w:pPr>
        <w:pStyle w:val="ListParagraph"/>
        <w:numPr>
          <w:ilvl w:val="0"/>
          <w:numId w:val="2"/>
        </w:numPr>
        <w:spacing w:after="40" w:before="40"/>
      </w:pPr>
      <w:r>
        <w:rPr>
          <w:rFonts w:ascii="Arial" w:cs="Arial" w:eastAsia="Arial" w:hAnsi="Arial"/>
          <w:color w:val="111827"/>
          <w:sz w:val="19"/>
          <w:szCs w:val="19"/>
        </w:rPr>
        <w:t xml:space="preserve">Failed upload attempts in portal — abandonment point in upload flow</w:t>
      </w:r>
    </w:p>
    <w:p>
      <w:pPr>
        <w:pStyle w:val="Heading2"/>
        <w:spacing w:after="100" w:before="280"/>
      </w:pPr>
      <w:r>
        <w:rPr>
          <w:rFonts w:ascii="Arial" w:cs="Arial" w:eastAsia="Arial" w:hAnsi="Arial"/>
          <w:b/>
          <w:bCs/>
          <w:color w:val="1F3148"/>
          <w:sz w:val="22"/>
          <w:szCs w:val="22"/>
        </w:rPr>
        <w:t xml:space="preserve">Client Behavioral Patterns</w:t>
      </w:r>
    </w:p>
    <w:p>
      <w:pPr>
        <w:pStyle w:val="ListParagraph"/>
        <w:numPr>
          <w:ilvl w:val="0"/>
          <w:numId w:val="2"/>
        </w:numPr>
        <w:spacing w:after="40" w:before="40"/>
      </w:pPr>
      <w:r>
        <w:rPr>
          <w:rFonts w:ascii="Arial" w:cs="Arial" w:eastAsia="Arial" w:hAnsi="Arial"/>
          <w:color w:val="111827"/>
          <w:sz w:val="19"/>
          <w:szCs w:val="19"/>
        </w:rPr>
        <w:t xml:space="preserve">Device type per portal interaction — mobile versus desktop per client</w:t>
      </w:r>
    </w:p>
    <w:p>
      <w:pPr>
        <w:pStyle w:val="ListParagraph"/>
        <w:numPr>
          <w:ilvl w:val="0"/>
          <w:numId w:val="2"/>
        </w:numPr>
        <w:spacing w:after="40" w:before="40"/>
      </w:pPr>
      <w:r>
        <w:rPr>
          <w:rFonts w:ascii="Arial" w:cs="Arial" w:eastAsia="Arial" w:hAnsi="Arial"/>
          <w:color w:val="111827"/>
          <w:sz w:val="19"/>
          <w:szCs w:val="19"/>
        </w:rPr>
        <w:t xml:space="preserve">Time of day patterns for portal activity per client</w:t>
      </w:r>
    </w:p>
    <w:p>
      <w:pPr>
        <w:pStyle w:val="ListParagraph"/>
        <w:numPr>
          <w:ilvl w:val="0"/>
          <w:numId w:val="2"/>
        </w:numPr>
        <w:spacing w:after="40" w:before="40"/>
      </w:pPr>
      <w:r>
        <w:rPr>
          <w:rFonts w:ascii="Arial" w:cs="Arial" w:eastAsia="Arial" w:hAnsi="Arial"/>
          <w:color w:val="111827"/>
          <w:sz w:val="19"/>
          <w:szCs w:val="19"/>
        </w:rPr>
        <w:t xml:space="preserve">Day of week patterns for client responsiveness per client</w:t>
      </w:r>
    </w:p>
    <w:p>
      <w:pPr>
        <w:pStyle w:val="ListParagraph"/>
        <w:numPr>
          <w:ilvl w:val="0"/>
          <w:numId w:val="2"/>
        </w:numPr>
        <w:spacing w:after="40" w:before="40"/>
      </w:pPr>
      <w:r>
        <w:rPr>
          <w:rFonts w:ascii="Arial" w:cs="Arial" w:eastAsia="Arial" w:hAnsi="Arial"/>
          <w:color w:val="111827"/>
          <w:sz w:val="19"/>
          <w:szCs w:val="19"/>
        </w:rPr>
        <w:t xml:space="preserve">Client response time to document requests — by tenure, entity type, time of year</w:t>
      </w:r>
    </w:p>
    <w:p>
      <w:pPr>
        <w:pStyle w:val="ListParagraph"/>
        <w:numPr>
          <w:ilvl w:val="0"/>
          <w:numId w:val="2"/>
        </w:numPr>
        <w:spacing w:after="40" w:before="40"/>
      </w:pPr>
      <w:r>
        <w:rPr>
          <w:rFonts w:ascii="Arial" w:cs="Arial" w:eastAsia="Arial" w:hAnsi="Arial"/>
          <w:color w:val="111827"/>
          <w:sz w:val="19"/>
          <w:szCs w:val="19"/>
        </w:rPr>
        <w:t xml:space="preserve">Client communication response time to every firm-initiated communication</w:t>
      </w:r>
    </w:p>
    <w:p>
      <w:pPr>
        <w:pStyle w:val="ListParagraph"/>
        <w:numPr>
          <w:ilvl w:val="0"/>
          <w:numId w:val="2"/>
        </w:numPr>
        <w:spacing w:after="40" w:before="40"/>
      </w:pPr>
      <w:r>
        <w:rPr>
          <w:rFonts w:ascii="Arial" w:cs="Arial" w:eastAsia="Arial" w:hAnsi="Arial"/>
          <w:color w:val="111827"/>
          <w:sz w:val="19"/>
          <w:szCs w:val="19"/>
        </w:rPr>
        <w:t xml:space="preserve">Days from client creation to first portal login</w:t>
      </w:r>
    </w:p>
    <w:p>
      <w:pPr>
        <w:pStyle w:val="ListParagraph"/>
        <w:numPr>
          <w:ilvl w:val="0"/>
          <w:numId w:val="2"/>
        </w:numPr>
        <w:spacing w:after="40" w:before="40"/>
      </w:pPr>
      <w:r>
        <w:rPr>
          <w:rFonts w:ascii="Arial" w:cs="Arial" w:eastAsia="Arial" w:hAnsi="Arial"/>
          <w:color w:val="111827"/>
          <w:sz w:val="19"/>
          <w:szCs w:val="19"/>
        </w:rPr>
        <w:t xml:space="preserve">Portal session frequency over time — trending up, stable, or declining</w:t>
      </w:r>
    </w:p>
    <w:p>
      <w:pPr>
        <w:pStyle w:val="Heading2"/>
        <w:spacing w:after="100" w:before="280"/>
      </w:pPr>
      <w:r>
        <w:rPr>
          <w:rFonts w:ascii="Arial" w:cs="Arial" w:eastAsia="Arial" w:hAnsi="Arial"/>
          <w:b/>
          <w:bCs/>
          <w:color w:val="1F3148"/>
          <w:sz w:val="22"/>
          <w:szCs w:val="22"/>
        </w:rPr>
        <w:t xml:space="preserve">Client Profile Intelligence</w:t>
      </w:r>
    </w:p>
    <w:p>
      <w:pPr>
        <w:pStyle w:val="ListParagraph"/>
        <w:numPr>
          <w:ilvl w:val="0"/>
          <w:numId w:val="2"/>
        </w:numPr>
        <w:spacing w:after="40" w:before="40"/>
      </w:pPr>
      <w:r>
        <w:rPr>
          <w:rFonts w:ascii="Arial" w:cs="Arial" w:eastAsia="Arial" w:hAnsi="Arial"/>
          <w:color w:val="111827"/>
          <w:sz w:val="19"/>
          <w:szCs w:val="19"/>
        </w:rPr>
        <w:t xml:space="preserve">Client complexity profile — living score updated as engagements complete, all complexity flags tracked cumulatively</w:t>
      </w:r>
    </w:p>
    <w:p>
      <w:pPr>
        <w:pStyle w:val="ListParagraph"/>
        <w:numPr>
          <w:ilvl w:val="0"/>
          <w:numId w:val="2"/>
        </w:numPr>
        <w:spacing w:after="40" w:before="40"/>
      </w:pPr>
      <w:r>
        <w:rPr>
          <w:rFonts w:ascii="Arial" w:cs="Arial" w:eastAsia="Arial" w:hAnsi="Arial"/>
          <w:color w:val="111827"/>
          <w:sz w:val="19"/>
          <w:szCs w:val="19"/>
        </w:rPr>
        <w:t xml:space="preserve">Client satisfaction pulse — single question after engagement completion, one to five scale</w:t>
      </w:r>
    </w:p>
    <w:p>
      <w:pPr>
        <w:pStyle w:val="ListParagraph"/>
        <w:numPr>
          <w:ilvl w:val="0"/>
          <w:numId w:val="2"/>
        </w:numPr>
        <w:spacing w:after="40" w:before="40"/>
      </w:pPr>
      <w:r>
        <w:rPr>
          <w:rFonts w:ascii="Arial" w:cs="Arial" w:eastAsia="Arial" w:hAnsi="Arial"/>
          <w:color w:val="111827"/>
          <w:sz w:val="19"/>
          <w:szCs w:val="19"/>
        </w:rPr>
        <w:t xml:space="preserve">Client communication preference — portal, email, phone, inferred from behavior over time</w:t>
      </w:r>
    </w:p>
    <w:p>
      <w:pPr>
        <w:pStyle w:val="ListParagraph"/>
        <w:numPr>
          <w:ilvl w:val="0"/>
          <w:numId w:val="2"/>
        </w:numPr>
        <w:spacing w:after="40" w:before="40"/>
      </w:pPr>
      <w:r>
        <w:rPr>
          <w:rFonts w:ascii="Arial" w:cs="Arial" w:eastAsia="Arial" w:hAnsi="Arial"/>
          <w:color w:val="111827"/>
          <w:sz w:val="19"/>
          <w:szCs w:val="19"/>
        </w:rPr>
        <w:t xml:space="preserve">Client expertise level — financial sophistication, self-reported at intake</w:t>
      </w:r>
    </w:p>
    <w:p>
      <w:pPr>
        <w:pStyle w:val="ListParagraph"/>
        <w:numPr>
          <w:ilvl w:val="0"/>
          <w:numId w:val="2"/>
        </w:numPr>
        <w:spacing w:after="40" w:before="40"/>
      </w:pPr>
      <w:r>
        <w:rPr>
          <w:rFonts w:ascii="Arial" w:cs="Arial" w:eastAsia="Arial" w:hAnsi="Arial"/>
          <w:color w:val="111827"/>
          <w:sz w:val="19"/>
          <w:szCs w:val="19"/>
        </w:rPr>
        <w:t xml:space="preserve">Business milestone tracking — fiscal year end, entity anniversary, known business events</w:t>
      </w:r>
    </w:p>
    <w:p>
      <w:pPr>
        <w:pStyle w:val="ListParagraph"/>
        <w:numPr>
          <w:ilvl w:val="0"/>
          <w:numId w:val="2"/>
        </w:numPr>
        <w:spacing w:after="40" w:before="40"/>
      </w:pPr>
      <w:r>
        <w:rPr>
          <w:rFonts w:ascii="Arial" w:cs="Arial" w:eastAsia="Arial" w:hAnsi="Arial"/>
          <w:color w:val="111827"/>
          <w:sz w:val="19"/>
          <w:szCs w:val="19"/>
        </w:rPr>
        <w:t xml:space="preserve">Relationship tenure — years as client, number of services used, referrals made</w:t>
      </w:r>
    </w:p>
    <w:p>
      <w:pPr>
        <w:pStyle w:val="ListParagraph"/>
        <w:numPr>
          <w:ilvl w:val="0"/>
          <w:numId w:val="2"/>
        </w:numPr>
        <w:spacing w:after="40" w:before="40"/>
      </w:pPr>
      <w:r>
        <w:rPr>
          <w:rFonts w:ascii="Arial" w:cs="Arial" w:eastAsia="Arial" w:hAnsi="Arial"/>
          <w:color w:val="111827"/>
          <w:sz w:val="19"/>
          <w:szCs w:val="19"/>
        </w:rPr>
        <w:t xml:space="preserve">Annual fee change acceptance — accepted, negotiated, or churned</w:t>
      </w:r>
    </w:p>
    <w:p>
      <w:pPr>
        <w:pStyle w:val="ListParagraph"/>
        <w:numPr>
          <w:ilvl w:val="0"/>
          <w:numId w:val="2"/>
        </w:numPr>
        <w:spacing w:after="40" w:before="40"/>
      </w:pPr>
      <w:r>
        <w:rPr>
          <w:rFonts w:ascii="Arial" w:cs="Arial" w:eastAsia="Arial" w:hAnsi="Arial"/>
          <w:color w:val="111827"/>
          <w:sz w:val="19"/>
          <w:szCs w:val="19"/>
        </w:rPr>
        <w:t xml:space="preserve">Service expansion events — when client adds new service type and what triggered it</w:t>
      </w:r>
    </w:p>
    <w:p>
      <w:pPr>
        <w:pStyle w:val="ListParagraph"/>
        <w:numPr>
          <w:ilvl w:val="0"/>
          <w:numId w:val="2"/>
        </w:numPr>
        <w:spacing w:after="40" w:before="40"/>
      </w:pPr>
      <w:r>
        <w:rPr>
          <w:rFonts w:ascii="Arial" w:cs="Arial" w:eastAsia="Arial" w:hAnsi="Arial"/>
          <w:color w:val="111827"/>
          <w:sz w:val="19"/>
          <w:szCs w:val="19"/>
        </w:rPr>
        <w:t xml:space="preserve">Prior representation status — previously unrepresented, switching from another firm, prior portal experience</w:t>
      </w:r>
    </w:p>
    <w:p>
      <w:pPr>
        <w:pStyle w:val="ListParagraph"/>
        <w:numPr>
          <w:ilvl w:val="0"/>
          <w:numId w:val="2"/>
        </w:numPr>
        <w:spacing w:after="40" w:before="40"/>
      </w:pPr>
      <w:r>
        <w:rPr>
          <w:rFonts w:ascii="Arial" w:cs="Arial" w:eastAsia="Arial" w:hAnsi="Arial"/>
          <w:color w:val="111827"/>
          <w:sz w:val="19"/>
          <w:szCs w:val="19"/>
        </w:rPr>
        <w:t xml:space="preserve">Intake document completeness at first submission — percentage provided on first attempt</w:t>
      </w:r>
    </w:p>
    <w:p>
      <w:pPr>
        <w:pStyle w:val="ListParagraph"/>
        <w:numPr>
          <w:ilvl w:val="0"/>
          <w:numId w:val="2"/>
        </w:numPr>
        <w:spacing w:after="40" w:before="40"/>
      </w:pPr>
      <w:r>
        <w:rPr>
          <w:rFonts w:ascii="Arial" w:cs="Arial" w:eastAsia="Arial" w:hAnsi="Arial"/>
          <w:color w:val="111827"/>
          <w:sz w:val="19"/>
          <w:szCs w:val="19"/>
        </w:rPr>
        <w:t xml:space="preserve">Client financial stress signals — late payment pattern, deferral requests, payment plan requests</w:t>
      </w:r>
    </w:p>
    <w:p>
      <w:pPr>
        <w:pStyle w:val="ListParagraph"/>
        <w:numPr>
          <w:ilvl w:val="0"/>
          <w:numId w:val="2"/>
        </w:numPr>
        <w:spacing w:after="40" w:before="40"/>
      </w:pPr>
      <w:r>
        <w:rPr>
          <w:rFonts w:ascii="Arial" w:cs="Arial" w:eastAsia="Arial" w:hAnsi="Arial"/>
          <w:color w:val="111827"/>
          <w:sz w:val="19"/>
          <w:szCs w:val="19"/>
        </w:rPr>
        <w:t xml:space="preserve">Life event triggers — marriage, divorce, new dependent, home purchase, retirement, inheritance, business formation, business sale</w:t>
      </w:r>
    </w:p>
    <w:p>
      <w:pPr>
        <w:pStyle w:val="ListParagraph"/>
        <w:numPr>
          <w:ilvl w:val="0"/>
          <w:numId w:val="2"/>
        </w:numPr>
        <w:spacing w:after="40" w:before="40"/>
      </w:pPr>
      <w:r>
        <w:rPr>
          <w:rFonts w:ascii="Arial" w:cs="Arial" w:eastAsia="Arial" w:hAnsi="Arial"/>
          <w:color w:val="111827"/>
          <w:sz w:val="19"/>
          <w:szCs w:val="19"/>
        </w:rPr>
        <w:t xml:space="preserve">Client net worth tier — inferred from engagement complexity and document types</w:t>
      </w:r>
    </w:p>
    <w:p>
      <w:pPr>
        <w:pStyle w:val="ListParagraph"/>
        <w:numPr>
          <w:ilvl w:val="0"/>
          <w:numId w:val="2"/>
        </w:numPr>
        <w:spacing w:after="40" w:before="40"/>
      </w:pPr>
      <w:r>
        <w:rPr>
          <w:rFonts w:ascii="Arial" w:cs="Arial" w:eastAsia="Arial" w:hAnsi="Arial"/>
          <w:color w:val="111827"/>
          <w:sz w:val="19"/>
          <w:szCs w:val="19"/>
        </w:rPr>
        <w:t xml:space="preserve">Client complaint events — firm marks communication as complaint, timestamp, linked engagement</w:t>
      </w:r>
    </w:p>
    <w:p>
      <w:pPr>
        <w:pStyle w:val="Heading2"/>
        <w:spacing w:after="100" w:before="280"/>
      </w:pPr>
      <w:r>
        <w:rPr>
          <w:rFonts w:ascii="Arial" w:cs="Arial" w:eastAsia="Arial" w:hAnsi="Arial"/>
          <w:b/>
          <w:bCs/>
          <w:color w:val="1F3148"/>
          <w:sz w:val="22"/>
          <w:szCs w:val="22"/>
        </w:rPr>
        <w:t xml:space="preserve">Multi-Year Client Intelligence</w:t>
      </w:r>
    </w:p>
    <w:p>
      <w:pPr>
        <w:pStyle w:val="ListParagraph"/>
        <w:numPr>
          <w:ilvl w:val="0"/>
          <w:numId w:val="2"/>
        </w:numPr>
        <w:spacing w:after="40" w:before="40"/>
      </w:pPr>
      <w:r>
        <w:rPr>
          <w:rFonts w:ascii="Arial" w:cs="Arial" w:eastAsia="Arial" w:hAnsi="Arial"/>
          <w:color w:val="111827"/>
          <w:sz w:val="19"/>
          <w:szCs w:val="19"/>
        </w:rPr>
        <w:t xml:space="preserve">Multi-year trend per client — complexity, fees, response times, service mix over three and five year windows</w:t>
      </w:r>
    </w:p>
    <w:p>
      <w:pPr>
        <w:pStyle w:val="ListParagraph"/>
        <w:numPr>
          <w:ilvl w:val="0"/>
          <w:numId w:val="2"/>
        </w:numPr>
        <w:spacing w:after="40" w:before="40"/>
      </w:pPr>
      <w:r>
        <w:rPr>
          <w:rFonts w:ascii="Arial" w:cs="Arial" w:eastAsia="Arial" w:hAnsi="Arial"/>
          <w:color w:val="111827"/>
          <w:sz w:val="19"/>
          <w:szCs w:val="19"/>
        </w:rPr>
        <w:t xml:space="preserve">Generational transition signals — ownership or financial responsibility changes</w:t>
      </w:r>
    </w:p>
    <w:p>
      <w:pPr>
        <w:pStyle w:val="ListParagraph"/>
        <w:numPr>
          <w:ilvl w:val="0"/>
          <w:numId w:val="2"/>
        </w:numPr>
        <w:spacing w:after="40" w:before="40"/>
      </w:pPr>
      <w:r>
        <w:rPr>
          <w:rFonts w:ascii="Arial" w:cs="Arial" w:eastAsia="Arial" w:hAnsi="Arial"/>
          <w:color w:val="111827"/>
          <w:sz w:val="19"/>
          <w:szCs w:val="19"/>
        </w:rPr>
        <w:t xml:space="preserve">Geographic and industry tags per client for clustering analysis</w:t>
      </w:r>
    </w:p>
    <w:p>
      <w:pPr>
        <w:pStyle w:val="ListParagraph"/>
        <w:numPr>
          <w:ilvl w:val="0"/>
          <w:numId w:val="2"/>
        </w:numPr>
        <w:spacing w:after="40" w:before="40"/>
      </w:pPr>
      <w:r>
        <w:rPr>
          <w:rFonts w:ascii="Arial" w:cs="Arial" w:eastAsia="Arial" w:hAnsi="Arial"/>
          <w:color w:val="111827"/>
          <w:sz w:val="19"/>
          <w:szCs w:val="19"/>
        </w:rPr>
        <w:t xml:space="preserve">Prior accountant relationship quality signals — complete prior year records yes or no, adequate notice given</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05 — Staff and Firm Operations Domain</w:t>
      </w:r>
    </w:p>
    <w:p>
      <w:pPr>
        <w:spacing w:after="160" w:before="80"/>
      </w:pPr>
      <w:r>
        <w:rPr>
          <w:rFonts w:ascii="Arial" w:cs="Arial" w:eastAsia="Arial" w:hAnsi="Arial"/>
          <w:i/>
          <w:iCs/>
          <w:color w:val="6B7280"/>
          <w:sz w:val="20"/>
          <w:szCs w:val="20"/>
        </w:rPr>
        <w:t xml:space="preserve">Every signal related to how staff work, how the firm is configured, and how the product is used internally.</w:t>
      </w:r>
    </w:p>
    <w:p>
      <w:pPr>
        <w:pStyle w:val="Heading2"/>
        <w:spacing w:after="100" w:before="280"/>
      </w:pPr>
      <w:r>
        <w:rPr>
          <w:rFonts w:ascii="Arial" w:cs="Arial" w:eastAsia="Arial" w:hAnsi="Arial"/>
          <w:b/>
          <w:bCs/>
          <w:color w:val="1F3148"/>
          <w:sz w:val="22"/>
          <w:szCs w:val="22"/>
        </w:rPr>
        <w:t xml:space="preserve">Staff Activity Events</w:t>
      </w:r>
    </w:p>
    <w:p>
      <w:pPr>
        <w:pStyle w:val="ListParagraph"/>
        <w:numPr>
          <w:ilvl w:val="0"/>
          <w:numId w:val="2"/>
        </w:numPr>
        <w:spacing w:after="40" w:before="40"/>
      </w:pPr>
      <w:r>
        <w:rPr>
          <w:rFonts w:ascii="Arial" w:cs="Arial" w:eastAsia="Arial" w:hAnsi="Arial"/>
          <w:color w:val="111827"/>
          <w:sz w:val="19"/>
          <w:szCs w:val="19"/>
        </w:rPr>
        <w:t xml:space="preserve">User login — time of day, day of week, device type, session duration</w:t>
      </w:r>
    </w:p>
    <w:p>
      <w:pPr>
        <w:pStyle w:val="ListParagraph"/>
        <w:numPr>
          <w:ilvl w:val="0"/>
          <w:numId w:val="2"/>
        </w:numPr>
        <w:spacing w:after="40" w:before="40"/>
      </w:pPr>
      <w:r>
        <w:rPr>
          <w:rFonts w:ascii="Arial" w:cs="Arial" w:eastAsia="Arial" w:hAnsi="Arial"/>
          <w:color w:val="111827"/>
          <w:sz w:val="19"/>
          <w:szCs w:val="19"/>
        </w:rPr>
        <w:t xml:space="preserve">User login failed — reason if detectable, preceding successful login time</w:t>
      </w:r>
    </w:p>
    <w:p>
      <w:pPr>
        <w:pStyle w:val="ListParagraph"/>
        <w:numPr>
          <w:ilvl w:val="0"/>
          <w:numId w:val="2"/>
        </w:numPr>
        <w:spacing w:after="40" w:before="40"/>
      </w:pPr>
      <w:r>
        <w:rPr>
          <w:rFonts w:ascii="Arial" w:cs="Arial" w:eastAsia="Arial" w:hAnsi="Arial"/>
          <w:color w:val="111827"/>
          <w:sz w:val="19"/>
          <w:szCs w:val="19"/>
        </w:rPr>
        <w:t xml:space="preserve">Time entry created — hours logged, billable yes or no, engagement type, time since work was done, time of day created</w:t>
      </w:r>
    </w:p>
    <w:p>
      <w:pPr>
        <w:pStyle w:val="ListParagraph"/>
        <w:numPr>
          <w:ilvl w:val="0"/>
          <w:numId w:val="2"/>
        </w:numPr>
        <w:spacing w:after="40" w:before="40"/>
      </w:pPr>
      <w:r>
        <w:rPr>
          <w:rFonts w:ascii="Arial" w:cs="Arial" w:eastAsia="Arial" w:hAnsi="Arial"/>
          <w:color w:val="111827"/>
          <w:sz w:val="19"/>
          <w:szCs w:val="19"/>
        </w:rPr>
        <w:t xml:space="preserve">Time entry edited — what changed, time since original entry</w:t>
      </w:r>
    </w:p>
    <w:p>
      <w:pPr>
        <w:pStyle w:val="ListParagraph"/>
        <w:numPr>
          <w:ilvl w:val="0"/>
          <w:numId w:val="2"/>
        </w:numPr>
        <w:spacing w:after="40" w:before="40"/>
      </w:pPr>
      <w:r>
        <w:rPr>
          <w:rFonts w:ascii="Arial" w:cs="Arial" w:eastAsia="Arial" w:hAnsi="Arial"/>
          <w:color w:val="111827"/>
          <w:sz w:val="19"/>
          <w:szCs w:val="19"/>
        </w:rPr>
        <w:t xml:space="preserve">Time entry deleted — who deleted, time since creation</w:t>
      </w:r>
    </w:p>
    <w:p>
      <w:pPr>
        <w:pStyle w:val="ListParagraph"/>
        <w:numPr>
          <w:ilvl w:val="0"/>
          <w:numId w:val="2"/>
        </w:numPr>
        <w:spacing w:after="40" w:before="40"/>
      </w:pPr>
      <w:r>
        <w:rPr>
          <w:rFonts w:ascii="Arial" w:cs="Arial" w:eastAsia="Arial" w:hAnsi="Arial"/>
          <w:color w:val="111827"/>
          <w:sz w:val="19"/>
          <w:szCs w:val="19"/>
        </w:rPr>
        <w:t xml:space="preserve">Time entry lag — days between work performed and entry created</w:t>
      </w:r>
    </w:p>
    <w:p>
      <w:pPr>
        <w:pStyle w:val="ListParagraph"/>
        <w:numPr>
          <w:ilvl w:val="0"/>
          <w:numId w:val="2"/>
        </w:numPr>
        <w:spacing w:after="40" w:before="40"/>
      </w:pPr>
      <w:r>
        <w:rPr>
          <w:rFonts w:ascii="Arial" w:cs="Arial" w:eastAsia="Arial" w:hAnsi="Arial"/>
          <w:color w:val="111827"/>
          <w:sz w:val="19"/>
          <w:szCs w:val="19"/>
        </w:rPr>
        <w:t xml:space="preserve">Staff assigned to engagement — engagement type, staff current workload at time of assignment</w:t>
      </w:r>
    </w:p>
    <w:p>
      <w:pPr>
        <w:pStyle w:val="Heading2"/>
        <w:spacing w:after="100" w:before="280"/>
      </w:pPr>
      <w:r>
        <w:rPr>
          <w:rFonts w:ascii="Arial" w:cs="Arial" w:eastAsia="Arial" w:hAnsi="Arial"/>
          <w:b/>
          <w:bCs/>
          <w:color w:val="1F3148"/>
          <w:sz w:val="22"/>
          <w:szCs w:val="22"/>
        </w:rPr>
        <w:t xml:space="preserve">Staff Performance Patterns</w:t>
      </w:r>
    </w:p>
    <w:p>
      <w:pPr>
        <w:pStyle w:val="ListParagraph"/>
        <w:numPr>
          <w:ilvl w:val="0"/>
          <w:numId w:val="2"/>
        </w:numPr>
        <w:spacing w:after="40" w:before="40"/>
      </w:pPr>
      <w:r>
        <w:rPr>
          <w:rFonts w:ascii="Arial" w:cs="Arial" w:eastAsia="Arial" w:hAnsi="Arial"/>
          <w:color w:val="111827"/>
          <w:sz w:val="19"/>
          <w:szCs w:val="19"/>
        </w:rPr>
        <w:t xml:space="preserve">Engagement type distribution per staff member — volume percentage by type, updated continuously</w:t>
      </w:r>
    </w:p>
    <w:p>
      <w:pPr>
        <w:pStyle w:val="ListParagraph"/>
        <w:numPr>
          <w:ilvl w:val="0"/>
          <w:numId w:val="2"/>
        </w:numPr>
        <w:spacing w:after="40" w:before="40"/>
      </w:pPr>
      <w:r>
        <w:rPr>
          <w:rFonts w:ascii="Arial" w:cs="Arial" w:eastAsia="Arial" w:hAnsi="Arial"/>
          <w:color w:val="111827"/>
          <w:sz w:val="19"/>
          <w:szCs w:val="19"/>
        </w:rPr>
        <w:t xml:space="preserve">Complexity tier of engagements per staff member — tracked over time</w:t>
      </w:r>
    </w:p>
    <w:p>
      <w:pPr>
        <w:pStyle w:val="ListParagraph"/>
        <w:numPr>
          <w:ilvl w:val="0"/>
          <w:numId w:val="2"/>
        </w:numPr>
        <w:spacing w:after="40" w:before="40"/>
      </w:pPr>
      <w:r>
        <w:rPr>
          <w:rFonts w:ascii="Arial" w:cs="Arial" w:eastAsia="Arial" w:hAnsi="Arial"/>
          <w:color w:val="111827"/>
          <w:sz w:val="19"/>
          <w:szCs w:val="19"/>
        </w:rPr>
        <w:t xml:space="preserve">Complexity progression per staff member — whether tier is increasing, stable, or declining over time</w:t>
      </w:r>
    </w:p>
    <w:p>
      <w:pPr>
        <w:pStyle w:val="ListParagraph"/>
        <w:numPr>
          <w:ilvl w:val="0"/>
          <w:numId w:val="2"/>
        </w:numPr>
        <w:spacing w:after="40" w:before="40"/>
      </w:pPr>
      <w:r>
        <w:rPr>
          <w:rFonts w:ascii="Arial" w:cs="Arial" w:eastAsia="Arial" w:hAnsi="Arial"/>
          <w:color w:val="111827"/>
          <w:sz w:val="19"/>
          <w:szCs w:val="19"/>
        </w:rPr>
        <w:t xml:space="preserve">Review relationship map — who reviewed whose work, frequency, building informal mentorship visibility</w:t>
      </w:r>
    </w:p>
    <w:p>
      <w:pPr>
        <w:pStyle w:val="ListParagraph"/>
        <w:numPr>
          <w:ilvl w:val="0"/>
          <w:numId w:val="2"/>
        </w:numPr>
        <w:spacing w:after="40" w:before="40"/>
      </w:pPr>
      <w:r>
        <w:rPr>
          <w:rFonts w:ascii="Arial" w:cs="Arial" w:eastAsia="Arial" w:hAnsi="Arial"/>
          <w:color w:val="111827"/>
          <w:sz w:val="19"/>
          <w:szCs w:val="19"/>
        </w:rPr>
        <w:t xml:space="preserve">Seasonal performance variance — throughput and quality metrics by season per staff member</w:t>
      </w:r>
    </w:p>
    <w:p>
      <w:pPr>
        <w:pStyle w:val="ListParagraph"/>
        <w:numPr>
          <w:ilvl w:val="0"/>
          <w:numId w:val="2"/>
        </w:numPr>
        <w:spacing w:after="40" w:before="40"/>
      </w:pPr>
      <w:r>
        <w:rPr>
          <w:rFonts w:ascii="Arial" w:cs="Arial" w:eastAsia="Arial" w:hAnsi="Arial"/>
          <w:color w:val="111827"/>
          <w:sz w:val="19"/>
          <w:szCs w:val="19"/>
        </w:rPr>
        <w:t xml:space="preserve">Revision cycles per staff member — first pass approval rate</w:t>
      </w:r>
    </w:p>
    <w:p>
      <w:pPr>
        <w:pStyle w:val="ListParagraph"/>
        <w:numPr>
          <w:ilvl w:val="0"/>
          <w:numId w:val="2"/>
        </w:numPr>
        <w:spacing w:after="40" w:before="40"/>
      </w:pPr>
      <w:r>
        <w:rPr>
          <w:rFonts w:ascii="Arial" w:cs="Arial" w:eastAsia="Arial" w:hAnsi="Arial"/>
          <w:color w:val="111827"/>
          <w:sz w:val="19"/>
          <w:szCs w:val="19"/>
        </w:rPr>
        <w:t xml:space="preserve">Interruption patterns — how often a staff member switches between engagements in a single day</w:t>
      </w:r>
    </w:p>
    <w:p>
      <w:pPr>
        <w:pStyle w:val="ListParagraph"/>
        <w:numPr>
          <w:ilvl w:val="0"/>
          <w:numId w:val="2"/>
        </w:numPr>
        <w:spacing w:after="40" w:before="40"/>
      </w:pPr>
      <w:r>
        <w:rPr>
          <w:rFonts w:ascii="Arial" w:cs="Arial" w:eastAsia="Arial" w:hAnsi="Arial"/>
          <w:color w:val="111827"/>
          <w:sz w:val="19"/>
          <w:szCs w:val="19"/>
        </w:rPr>
        <w:t xml:space="preserve">Time of day work patterns — when deep work happens versus reactive work per staff member</w:t>
      </w:r>
    </w:p>
    <w:p>
      <w:pPr>
        <w:pStyle w:val="ListParagraph"/>
        <w:numPr>
          <w:ilvl w:val="0"/>
          <w:numId w:val="2"/>
        </w:numPr>
        <w:spacing w:after="40" w:before="40"/>
      </w:pPr>
      <w:r>
        <w:rPr>
          <w:rFonts w:ascii="Arial" w:cs="Arial" w:eastAsia="Arial" w:hAnsi="Arial"/>
          <w:color w:val="111827"/>
          <w:sz w:val="19"/>
          <w:szCs w:val="19"/>
        </w:rPr>
        <w:t xml:space="preserve">After hours activity patterns — time entries and completions outside normal business hours</w:t>
      </w:r>
    </w:p>
    <w:p>
      <w:pPr>
        <w:pStyle w:val="ListParagraph"/>
        <w:numPr>
          <w:ilvl w:val="0"/>
          <w:numId w:val="2"/>
        </w:numPr>
        <w:spacing w:after="40" w:before="40"/>
      </w:pPr>
      <w:r>
        <w:rPr>
          <w:rFonts w:ascii="Arial" w:cs="Arial" w:eastAsia="Arial" w:hAnsi="Arial"/>
          <w:color w:val="111827"/>
          <w:sz w:val="19"/>
          <w:szCs w:val="19"/>
        </w:rPr>
        <w:t xml:space="preserve">Weekend work concentration — percentage of activity on weekends, trending over time</w:t>
      </w:r>
    </w:p>
    <w:p>
      <w:pPr>
        <w:pStyle w:val="Heading2"/>
        <w:spacing w:after="100" w:before="280"/>
      </w:pPr>
      <w:r>
        <w:rPr>
          <w:rFonts w:ascii="Arial" w:cs="Arial" w:eastAsia="Arial" w:hAnsi="Arial"/>
          <w:b/>
          <w:bCs/>
          <w:color w:val="1F3148"/>
          <w:sz w:val="22"/>
          <w:szCs w:val="22"/>
        </w:rPr>
        <w:t xml:space="preserve">Staff Capacity and Wellbeing Signals</w:t>
      </w:r>
    </w:p>
    <w:p>
      <w:pPr>
        <w:pStyle w:val="ListParagraph"/>
        <w:numPr>
          <w:ilvl w:val="0"/>
          <w:numId w:val="2"/>
        </w:numPr>
        <w:spacing w:after="40" w:before="40"/>
      </w:pPr>
      <w:r>
        <w:rPr>
          <w:rFonts w:ascii="Arial" w:cs="Arial" w:eastAsia="Arial" w:hAnsi="Arial"/>
          <w:color w:val="111827"/>
          <w:sz w:val="19"/>
          <w:szCs w:val="19"/>
        </w:rPr>
        <w:t xml:space="preserve">Staff hourly cost — loaded cost for internal profitability calculations, set at firm level</w:t>
      </w:r>
    </w:p>
    <w:p>
      <w:pPr>
        <w:pStyle w:val="ListParagraph"/>
        <w:numPr>
          <w:ilvl w:val="0"/>
          <w:numId w:val="2"/>
        </w:numPr>
        <w:spacing w:after="40" w:before="40"/>
      </w:pPr>
      <w:r>
        <w:rPr>
          <w:rFonts w:ascii="Arial" w:cs="Arial" w:eastAsia="Arial" w:hAnsi="Arial"/>
          <w:color w:val="111827"/>
          <w:sz w:val="19"/>
          <w:szCs w:val="19"/>
        </w:rPr>
        <w:t xml:space="preserve">Staff available capacity — hours available versus hours currently assigned</w:t>
      </w:r>
    </w:p>
    <w:p>
      <w:pPr>
        <w:pStyle w:val="ListParagraph"/>
        <w:numPr>
          <w:ilvl w:val="0"/>
          <w:numId w:val="2"/>
        </w:numPr>
        <w:spacing w:after="40" w:before="40"/>
      </w:pPr>
      <w:r>
        <w:rPr>
          <w:rFonts w:ascii="Arial" w:cs="Arial" w:eastAsia="Arial" w:hAnsi="Arial"/>
          <w:color w:val="111827"/>
          <w:sz w:val="19"/>
          <w:szCs w:val="19"/>
        </w:rPr>
        <w:t xml:space="preserve">Historical throughput per staff member per engagement type — average days to complete</w:t>
      </w:r>
    </w:p>
    <w:p>
      <w:pPr>
        <w:pStyle w:val="ListParagraph"/>
        <w:numPr>
          <w:ilvl w:val="0"/>
          <w:numId w:val="2"/>
        </w:numPr>
        <w:spacing w:after="40" w:before="40"/>
      </w:pPr>
      <w:r>
        <w:rPr>
          <w:rFonts w:ascii="Arial" w:cs="Arial" w:eastAsia="Arial" w:hAnsi="Arial"/>
          <w:color w:val="111827"/>
          <w:sz w:val="19"/>
          <w:szCs w:val="19"/>
        </w:rPr>
        <w:t xml:space="preserve">Staff burnout signals — task velocity beyond sustainable rate, after hours entries, reassignment requests, error rate changes</w:t>
      </w:r>
    </w:p>
    <w:p>
      <w:pPr>
        <w:pStyle w:val="ListParagraph"/>
        <w:numPr>
          <w:ilvl w:val="0"/>
          <w:numId w:val="2"/>
        </w:numPr>
        <w:spacing w:after="40" w:before="40"/>
      </w:pPr>
      <w:r>
        <w:rPr>
          <w:rFonts w:ascii="Arial" w:cs="Arial" w:eastAsia="Arial" w:hAnsi="Arial"/>
          <w:color w:val="111827"/>
          <w:sz w:val="19"/>
          <w:szCs w:val="19"/>
        </w:rPr>
        <w:t xml:space="preserve">Workload distribution equity — whether work is distributed evenly or one person carrying disproportionate load</w:t>
      </w:r>
    </w:p>
    <w:p>
      <w:pPr>
        <w:pStyle w:val="ListParagraph"/>
        <w:numPr>
          <w:ilvl w:val="0"/>
          <w:numId w:val="2"/>
        </w:numPr>
        <w:spacing w:after="40" w:before="40"/>
      </w:pPr>
      <w:r>
        <w:rPr>
          <w:rFonts w:ascii="Arial" w:cs="Arial" w:eastAsia="Arial" w:hAnsi="Arial"/>
          <w:color w:val="111827"/>
          <w:sz w:val="19"/>
          <w:szCs w:val="19"/>
        </w:rPr>
        <w:t xml:space="preserve">Vacation and time off patterns — periods with zero logins per staff member</w:t>
      </w:r>
    </w:p>
    <w:p>
      <w:pPr>
        <w:pStyle w:val="Heading2"/>
        <w:spacing w:after="100" w:before="280"/>
      </w:pPr>
      <w:r>
        <w:rPr>
          <w:rFonts w:ascii="Arial" w:cs="Arial" w:eastAsia="Arial" w:hAnsi="Arial"/>
          <w:b/>
          <w:bCs/>
          <w:color w:val="1F3148"/>
          <w:sz w:val="22"/>
          <w:szCs w:val="22"/>
        </w:rPr>
        <w:t xml:space="preserve">Staff Development Signals</w:t>
      </w:r>
    </w:p>
    <w:p>
      <w:pPr>
        <w:pStyle w:val="ListParagraph"/>
        <w:numPr>
          <w:ilvl w:val="0"/>
          <w:numId w:val="2"/>
        </w:numPr>
        <w:spacing w:after="40" w:before="40"/>
      </w:pPr>
      <w:r>
        <w:rPr>
          <w:rFonts w:ascii="Arial" w:cs="Arial" w:eastAsia="Arial" w:hAnsi="Arial"/>
          <w:color w:val="111827"/>
          <w:sz w:val="19"/>
          <w:szCs w:val="19"/>
        </w:rPr>
        <w:t xml:space="preserve">Staff skill set tags — which engagement types each staff member is qualified to handle, manual input</w:t>
      </w:r>
    </w:p>
    <w:p>
      <w:pPr>
        <w:pStyle w:val="ListParagraph"/>
        <w:numPr>
          <w:ilvl w:val="0"/>
          <w:numId w:val="2"/>
        </w:numPr>
        <w:spacing w:after="40" w:before="40"/>
      </w:pPr>
      <w:r>
        <w:rPr>
          <w:rFonts w:ascii="Arial" w:cs="Arial" w:eastAsia="Arial" w:hAnsi="Arial"/>
          <w:color w:val="111827"/>
          <w:sz w:val="19"/>
          <w:szCs w:val="19"/>
        </w:rPr>
        <w:t xml:space="preserve">Mentorship patterns — who reviewed whose work building informal relationship map</w:t>
      </w:r>
    </w:p>
    <w:p>
      <w:pPr>
        <w:pStyle w:val="ListParagraph"/>
        <w:numPr>
          <w:ilvl w:val="0"/>
          <w:numId w:val="2"/>
        </w:numPr>
        <w:spacing w:after="40" w:before="40"/>
      </w:pPr>
      <w:r>
        <w:rPr>
          <w:rFonts w:ascii="Arial" w:cs="Arial" w:eastAsia="Arial" w:hAnsi="Arial"/>
          <w:color w:val="111827"/>
          <w:sz w:val="19"/>
          <w:szCs w:val="19"/>
        </w:rPr>
        <w:t xml:space="preserve">Training event correlation — if training tracked, correlate with subsequent performance metrics</w:t>
      </w:r>
    </w:p>
    <w:p>
      <w:pPr>
        <w:pStyle w:val="ListParagraph"/>
        <w:numPr>
          <w:ilvl w:val="0"/>
          <w:numId w:val="2"/>
        </w:numPr>
        <w:spacing w:after="40" w:before="40"/>
      </w:pPr>
      <w:r>
        <w:rPr>
          <w:rFonts w:ascii="Arial" w:cs="Arial" w:eastAsia="Arial" w:hAnsi="Arial"/>
          <w:color w:val="111827"/>
          <w:sz w:val="19"/>
          <w:szCs w:val="19"/>
        </w:rPr>
        <w:t xml:space="preserve">Credential tracking — CPA license expiry, EA enrollment, PTIN renewal, state licensing requirements</w:t>
      </w:r>
    </w:p>
    <w:p>
      <w:pPr>
        <w:pStyle w:val="ListParagraph"/>
        <w:numPr>
          <w:ilvl w:val="0"/>
          <w:numId w:val="2"/>
        </w:numPr>
        <w:spacing w:after="40" w:before="40"/>
      </w:pPr>
      <w:r>
        <w:rPr>
          <w:rFonts w:ascii="Arial" w:cs="Arial" w:eastAsia="Arial" w:hAnsi="Arial"/>
          <w:color w:val="111827"/>
          <w:sz w:val="19"/>
          <w:szCs w:val="19"/>
        </w:rPr>
        <w:t xml:space="preserve">CPE completion tracking — hours completed, hours remaining, deadline for completion</w:t>
      </w:r>
    </w:p>
    <w:p>
      <w:pPr>
        <w:pStyle w:val="Heading2"/>
        <w:spacing w:after="100" w:before="280"/>
      </w:pPr>
      <w:r>
        <w:rPr>
          <w:rFonts w:ascii="Arial" w:cs="Arial" w:eastAsia="Arial" w:hAnsi="Arial"/>
          <w:b/>
          <w:bCs/>
          <w:color w:val="1F3148"/>
          <w:sz w:val="22"/>
          <w:szCs w:val="22"/>
        </w:rPr>
        <w:t xml:space="preserve">Firm Configuration and Product Usage</w:t>
      </w:r>
    </w:p>
    <w:p>
      <w:pPr>
        <w:pStyle w:val="ListParagraph"/>
        <w:numPr>
          <w:ilvl w:val="0"/>
          <w:numId w:val="2"/>
        </w:numPr>
        <w:spacing w:after="40" w:before="40"/>
      </w:pPr>
      <w:r>
        <w:rPr>
          <w:rFonts w:ascii="Arial" w:cs="Arial" w:eastAsia="Arial" w:hAnsi="Arial"/>
          <w:color w:val="111827"/>
          <w:sz w:val="19"/>
          <w:szCs w:val="19"/>
        </w:rPr>
        <w:t xml:space="preserve">Automation enabled — which rule, time since firm creation</w:t>
      </w:r>
    </w:p>
    <w:p>
      <w:pPr>
        <w:pStyle w:val="ListParagraph"/>
        <w:numPr>
          <w:ilvl w:val="0"/>
          <w:numId w:val="2"/>
        </w:numPr>
        <w:spacing w:after="40" w:before="40"/>
      </w:pPr>
      <w:r>
        <w:rPr>
          <w:rFonts w:ascii="Arial" w:cs="Arial" w:eastAsia="Arial" w:hAnsi="Arial"/>
          <w:color w:val="111827"/>
          <w:sz w:val="19"/>
          <w:szCs w:val="19"/>
        </w:rPr>
        <w:t xml:space="preserve">Automation disabled — which rule, how long enabled, how many times it fired</w:t>
      </w:r>
    </w:p>
    <w:p>
      <w:pPr>
        <w:pStyle w:val="ListParagraph"/>
        <w:numPr>
          <w:ilvl w:val="0"/>
          <w:numId w:val="2"/>
        </w:numPr>
        <w:spacing w:after="40" w:before="40"/>
      </w:pPr>
      <w:r>
        <w:rPr>
          <w:rFonts w:ascii="Arial" w:cs="Arial" w:eastAsia="Arial" w:hAnsi="Arial"/>
          <w:color w:val="111827"/>
          <w:sz w:val="19"/>
          <w:szCs w:val="19"/>
        </w:rPr>
        <w:t xml:space="preserve">Automation modified — which rule, what changed, time since enabled</w:t>
      </w:r>
    </w:p>
    <w:p>
      <w:pPr>
        <w:pStyle w:val="ListParagraph"/>
        <w:numPr>
          <w:ilvl w:val="0"/>
          <w:numId w:val="2"/>
        </w:numPr>
        <w:spacing w:after="40" w:before="40"/>
      </w:pPr>
      <w:r>
        <w:rPr>
          <w:rFonts w:ascii="Arial" w:cs="Arial" w:eastAsia="Arial" w:hAnsi="Arial"/>
          <w:color w:val="111827"/>
          <w:sz w:val="19"/>
          <w:szCs w:val="19"/>
        </w:rPr>
        <w:t xml:space="preserve">Automation fired — rule type, trigger, actions executed, failures</w:t>
      </w:r>
    </w:p>
    <w:p>
      <w:pPr>
        <w:pStyle w:val="ListParagraph"/>
        <w:numPr>
          <w:ilvl w:val="0"/>
          <w:numId w:val="2"/>
        </w:numPr>
        <w:spacing w:after="40" w:before="40"/>
      </w:pPr>
      <w:r>
        <w:rPr>
          <w:rFonts w:ascii="Arial" w:cs="Arial" w:eastAsia="Arial" w:hAnsi="Arial"/>
          <w:color w:val="111827"/>
          <w:sz w:val="19"/>
          <w:szCs w:val="19"/>
        </w:rPr>
        <w:t xml:space="preserve">Automation failed — rule type, failure point, retry count</w:t>
      </w:r>
    </w:p>
    <w:p>
      <w:pPr>
        <w:pStyle w:val="ListParagraph"/>
        <w:numPr>
          <w:ilvl w:val="0"/>
          <w:numId w:val="2"/>
        </w:numPr>
        <w:spacing w:after="40" w:before="40"/>
      </w:pPr>
      <w:r>
        <w:rPr>
          <w:rFonts w:ascii="Arial" w:cs="Arial" w:eastAsia="Arial" w:hAnsi="Arial"/>
          <w:color w:val="111827"/>
          <w:sz w:val="19"/>
          <w:szCs w:val="19"/>
        </w:rPr>
        <w:t xml:space="preserve">Automation override frequency — how often staff manually intervene in automated processes</w:t>
      </w:r>
    </w:p>
    <w:p>
      <w:pPr>
        <w:pStyle w:val="ListParagraph"/>
        <w:numPr>
          <w:ilvl w:val="0"/>
          <w:numId w:val="2"/>
        </w:numPr>
        <w:spacing w:after="40" w:before="40"/>
      </w:pPr>
      <w:r>
        <w:rPr>
          <w:rFonts w:ascii="Arial" w:cs="Arial" w:eastAsia="Arial" w:hAnsi="Arial"/>
          <w:color w:val="111827"/>
          <w:sz w:val="19"/>
          <w:szCs w:val="19"/>
        </w:rPr>
        <w:t xml:space="preserve">Template usage patterns — which templates used, which modified before sending, which never used</w:t>
      </w:r>
    </w:p>
    <w:p>
      <w:pPr>
        <w:pStyle w:val="ListParagraph"/>
        <w:numPr>
          <w:ilvl w:val="0"/>
          <w:numId w:val="2"/>
        </w:numPr>
        <w:spacing w:after="40" w:before="40"/>
      </w:pPr>
      <w:r>
        <w:rPr>
          <w:rFonts w:ascii="Arial" w:cs="Arial" w:eastAsia="Arial" w:hAnsi="Arial"/>
          <w:color w:val="111827"/>
          <w:sz w:val="19"/>
          <w:szCs w:val="19"/>
        </w:rPr>
        <w:t xml:space="preserve">Template modification delta — how much content changes between template and final sent version</w:t>
      </w:r>
    </w:p>
    <w:p>
      <w:pPr>
        <w:pStyle w:val="ListParagraph"/>
        <w:numPr>
          <w:ilvl w:val="0"/>
          <w:numId w:val="2"/>
        </w:numPr>
        <w:spacing w:after="40" w:before="40"/>
      </w:pPr>
      <w:r>
        <w:rPr>
          <w:rFonts w:ascii="Arial" w:cs="Arial" w:eastAsia="Arial" w:hAnsi="Arial"/>
          <w:color w:val="111827"/>
          <w:sz w:val="19"/>
          <w:szCs w:val="19"/>
        </w:rPr>
        <w:t xml:space="preserve">Settings change frequency — how often firm owner adjusts configuration</w:t>
      </w:r>
    </w:p>
    <w:p>
      <w:pPr>
        <w:pStyle w:val="ListParagraph"/>
        <w:numPr>
          <w:ilvl w:val="0"/>
          <w:numId w:val="2"/>
        </w:numPr>
        <w:spacing w:after="40" w:before="40"/>
      </w:pPr>
      <w:r>
        <w:rPr>
          <w:rFonts w:ascii="Arial" w:cs="Arial" w:eastAsia="Arial" w:hAnsi="Arial"/>
          <w:color w:val="111827"/>
          <w:sz w:val="19"/>
          <w:szCs w:val="19"/>
        </w:rPr>
        <w:t xml:space="preserve">Feature adoption per staff member — which features each person uses and when first used</w:t>
      </w:r>
    </w:p>
    <w:p>
      <w:pPr>
        <w:pStyle w:val="ListParagraph"/>
        <w:numPr>
          <w:ilvl w:val="0"/>
          <w:numId w:val="2"/>
        </w:numPr>
        <w:spacing w:after="40" w:before="40"/>
      </w:pPr>
      <w:r>
        <w:rPr>
          <w:rFonts w:ascii="Arial" w:cs="Arial" w:eastAsia="Arial" w:hAnsi="Arial"/>
          <w:color w:val="111827"/>
          <w:sz w:val="19"/>
          <w:szCs w:val="19"/>
        </w:rPr>
        <w:t xml:space="preserve">Feature adoption sequence at firm level — order in which firm adopts different features after onboarding</w:t>
      </w:r>
    </w:p>
    <w:p>
      <w:pPr>
        <w:pStyle w:val="ListParagraph"/>
        <w:numPr>
          <w:ilvl w:val="0"/>
          <w:numId w:val="2"/>
        </w:numPr>
        <w:spacing w:after="40" w:before="40"/>
      </w:pPr>
      <w:r>
        <w:rPr>
          <w:rFonts w:ascii="Arial" w:cs="Arial" w:eastAsia="Arial" w:hAnsi="Arial"/>
          <w:color w:val="111827"/>
          <w:sz w:val="19"/>
          <w:szCs w:val="19"/>
        </w:rPr>
        <w:t xml:space="preserve">Feature opened but abandoned — feature accessed but no action completed</w:t>
      </w:r>
    </w:p>
    <w:p>
      <w:pPr>
        <w:pStyle w:val="ListParagraph"/>
        <w:numPr>
          <w:ilvl w:val="0"/>
          <w:numId w:val="2"/>
        </w:numPr>
        <w:spacing w:after="40" w:before="40"/>
      </w:pPr>
      <w:r>
        <w:rPr>
          <w:rFonts w:ascii="Arial" w:cs="Arial" w:eastAsia="Arial" w:hAnsi="Arial"/>
          <w:color w:val="111827"/>
          <w:sz w:val="19"/>
          <w:szCs w:val="19"/>
        </w:rPr>
        <w:t xml:space="preserve">Manual override patterns — steps skipped, out-of-sequence actions, workflow bypasses</w:t>
      </w:r>
    </w:p>
    <w:p>
      <w:pPr>
        <w:pStyle w:val="ListParagraph"/>
        <w:numPr>
          <w:ilvl w:val="0"/>
          <w:numId w:val="2"/>
        </w:numPr>
        <w:spacing w:after="40" w:before="40"/>
      </w:pPr>
      <w:r>
        <w:rPr>
          <w:rFonts w:ascii="Arial" w:cs="Arial" w:eastAsia="Arial" w:hAnsi="Arial"/>
          <w:color w:val="111827"/>
          <w:sz w:val="19"/>
          <w:szCs w:val="19"/>
        </w:rPr>
        <w:t xml:space="preserve">Workflow completion rate — engagements going through full intended workflow versus partial completion</w:t>
      </w:r>
    </w:p>
    <w:p>
      <w:pPr>
        <w:pStyle w:val="Heading2"/>
        <w:spacing w:after="100" w:before="280"/>
      </w:pPr>
      <w:r>
        <w:rPr>
          <w:rFonts w:ascii="Arial" w:cs="Arial" w:eastAsia="Arial" w:hAnsi="Arial"/>
          <w:b/>
          <w:bCs/>
          <w:color w:val="1F3148"/>
          <w:sz w:val="22"/>
          <w:szCs w:val="22"/>
        </w:rPr>
        <w:t xml:space="preserve">Internal Communication</w:t>
      </w:r>
    </w:p>
    <w:p>
      <w:pPr>
        <w:pStyle w:val="ListParagraph"/>
        <w:numPr>
          <w:ilvl w:val="0"/>
          <w:numId w:val="2"/>
        </w:numPr>
        <w:spacing w:after="40" w:before="40"/>
      </w:pPr>
      <w:r>
        <w:rPr>
          <w:rFonts w:ascii="Arial" w:cs="Arial" w:eastAsia="Arial" w:hAnsi="Arial"/>
          <w:color w:val="111827"/>
          <w:sz w:val="19"/>
          <w:szCs w:val="19"/>
        </w:rPr>
        <w:t xml:space="preserve">Firm chat message sent — channel, message length, mentions count, time of day</w:t>
      </w:r>
    </w:p>
    <w:p>
      <w:pPr>
        <w:pStyle w:val="ListParagraph"/>
        <w:numPr>
          <w:ilvl w:val="0"/>
          <w:numId w:val="2"/>
        </w:numPr>
        <w:spacing w:after="40" w:before="40"/>
      </w:pPr>
      <w:r>
        <w:rPr>
          <w:rFonts w:ascii="Arial" w:cs="Arial" w:eastAsia="Arial" w:hAnsi="Arial"/>
          <w:color w:val="111827"/>
          <w:sz w:val="19"/>
          <w:szCs w:val="19"/>
        </w:rPr>
        <w:t xml:space="preserve">Search performed — query terms hashed, results count, result clicked yes or no</w:t>
      </w:r>
    </w:p>
    <w:p>
      <w:pPr>
        <w:pStyle w:val="ListParagraph"/>
        <w:numPr>
          <w:ilvl w:val="0"/>
          <w:numId w:val="2"/>
        </w:numPr>
        <w:spacing w:after="40" w:before="40"/>
      </w:pPr>
      <w:r>
        <w:rPr>
          <w:rFonts w:ascii="Arial" w:cs="Arial" w:eastAsia="Arial" w:hAnsi="Arial"/>
          <w:color w:val="111827"/>
          <w:sz w:val="19"/>
          <w:szCs w:val="19"/>
        </w:rPr>
        <w:t xml:space="preserve">Knowledge transfer events — when a process gets documented or an existing procedure updated</w:t>
      </w:r>
    </w:p>
    <w:p>
      <w:pPr>
        <w:pStyle w:val="ListParagraph"/>
        <w:numPr>
          <w:ilvl w:val="0"/>
          <w:numId w:val="2"/>
        </w:numPr>
        <w:spacing w:after="40" w:before="40"/>
      </w:pPr>
      <w:r>
        <w:rPr>
          <w:rFonts w:ascii="Arial" w:cs="Arial" w:eastAsia="Arial" w:hAnsi="Arial"/>
          <w:color w:val="111827"/>
          <w:sz w:val="19"/>
          <w:szCs w:val="19"/>
        </w:rPr>
        <w:t xml:space="preserve">Internal procedure documentation access — which staff access documented procedures and when</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06 — IRS and Compliance Domain</w:t>
      </w:r>
    </w:p>
    <w:p>
      <w:pPr>
        <w:spacing w:after="160" w:before="80"/>
      </w:pPr>
      <w:r>
        <w:rPr>
          <w:rFonts w:ascii="Arial" w:cs="Arial" w:eastAsia="Arial" w:hAnsi="Arial"/>
          <w:i/>
          <w:iCs/>
          <w:color w:val="6B7280"/>
          <w:sz w:val="20"/>
          <w:szCs w:val="20"/>
        </w:rPr>
        <w:t xml:space="preserve">Every event related to IRS authorizations, transcript requests, extensions, and regulatory compliance.</w:t>
      </w:r>
    </w:p>
    <w:p>
      <w:pPr>
        <w:pStyle w:val="Heading2"/>
        <w:spacing w:after="100" w:before="280"/>
      </w:pPr>
      <w:r>
        <w:rPr>
          <w:rFonts w:ascii="Arial" w:cs="Arial" w:eastAsia="Arial" w:hAnsi="Arial"/>
          <w:b/>
          <w:bCs/>
          <w:color w:val="1F3148"/>
          <w:sz w:val="22"/>
          <w:szCs w:val="22"/>
        </w:rPr>
        <w:t xml:space="preserve">Authorization Events</w:t>
      </w:r>
    </w:p>
    <w:p>
      <w:pPr>
        <w:pStyle w:val="ListParagraph"/>
        <w:numPr>
          <w:ilvl w:val="0"/>
          <w:numId w:val="2"/>
        </w:numPr>
        <w:spacing w:after="40" w:before="40"/>
      </w:pPr>
      <w:r>
        <w:rPr>
          <w:rFonts w:ascii="Arial" w:cs="Arial" w:eastAsia="Arial" w:hAnsi="Arial"/>
          <w:color w:val="111827"/>
          <w:sz w:val="19"/>
          <w:szCs w:val="19"/>
        </w:rPr>
        <w:t xml:space="preserve">IRS authorization created — form type 8821 versus 2848, client entity type, expiry date</w:t>
      </w:r>
    </w:p>
    <w:p>
      <w:pPr>
        <w:pStyle w:val="ListParagraph"/>
        <w:numPr>
          <w:ilvl w:val="0"/>
          <w:numId w:val="2"/>
        </w:numPr>
        <w:spacing w:after="40" w:before="40"/>
      </w:pPr>
      <w:r>
        <w:rPr>
          <w:rFonts w:ascii="Arial" w:cs="Arial" w:eastAsia="Arial" w:hAnsi="Arial"/>
          <w:color w:val="111827"/>
          <w:sz w:val="19"/>
          <w:szCs w:val="19"/>
        </w:rPr>
        <w:t xml:space="preserve">IRS authorization expiry warning sent — days until expiry, warning tier</w:t>
      </w:r>
    </w:p>
    <w:p>
      <w:pPr>
        <w:pStyle w:val="ListParagraph"/>
        <w:numPr>
          <w:ilvl w:val="0"/>
          <w:numId w:val="2"/>
        </w:numPr>
        <w:spacing w:after="40" w:before="40"/>
      </w:pPr>
      <w:r>
        <w:rPr>
          <w:rFonts w:ascii="Arial" w:cs="Arial" w:eastAsia="Arial" w:hAnsi="Arial"/>
          <w:color w:val="111827"/>
          <w:sz w:val="19"/>
          <w:szCs w:val="19"/>
        </w:rPr>
        <w:t xml:space="preserve">IRS authorization renewed — days before expiry it was renewed, time since last renewal</w:t>
      </w:r>
    </w:p>
    <w:p>
      <w:pPr>
        <w:pStyle w:val="ListParagraph"/>
        <w:numPr>
          <w:ilvl w:val="0"/>
          <w:numId w:val="2"/>
        </w:numPr>
        <w:spacing w:after="40" w:before="40"/>
      </w:pPr>
      <w:r>
        <w:rPr>
          <w:rFonts w:ascii="Arial" w:cs="Arial" w:eastAsia="Arial" w:hAnsi="Arial"/>
          <w:color w:val="111827"/>
          <w:sz w:val="19"/>
          <w:szCs w:val="19"/>
        </w:rPr>
        <w:t xml:space="preserve">IRS authorization expired — days since warning sent, whether renewal had been started</w:t>
      </w:r>
    </w:p>
    <w:p>
      <w:pPr>
        <w:pStyle w:val="ListParagraph"/>
        <w:numPr>
          <w:ilvl w:val="0"/>
          <w:numId w:val="2"/>
        </w:numPr>
        <w:spacing w:after="40" w:before="40"/>
      </w:pPr>
      <w:r>
        <w:rPr>
          <w:rFonts w:ascii="Arial" w:cs="Arial" w:eastAsia="Arial" w:hAnsi="Arial"/>
          <w:color w:val="111827"/>
          <w:sz w:val="19"/>
          <w:szCs w:val="19"/>
        </w:rPr>
        <w:t xml:space="preserve">Authorization gap period — time between expiration and new authorization obtained, work delayed during gap</w:t>
      </w:r>
    </w:p>
    <w:p>
      <w:pPr>
        <w:pStyle w:val="Heading2"/>
        <w:spacing w:after="100" w:before="280"/>
      </w:pPr>
      <w:r>
        <w:rPr>
          <w:rFonts w:ascii="Arial" w:cs="Arial" w:eastAsia="Arial" w:hAnsi="Arial"/>
          <w:b/>
          <w:bCs/>
          <w:color w:val="1F3148"/>
          <w:sz w:val="22"/>
          <w:szCs w:val="22"/>
        </w:rPr>
        <w:t xml:space="preserve">Transcript and Extension Events</w:t>
      </w:r>
    </w:p>
    <w:p>
      <w:pPr>
        <w:pStyle w:val="ListParagraph"/>
        <w:numPr>
          <w:ilvl w:val="0"/>
          <w:numId w:val="2"/>
        </w:numPr>
        <w:spacing w:after="40" w:before="40"/>
      </w:pPr>
      <w:r>
        <w:rPr>
          <w:rFonts w:ascii="Arial" w:cs="Arial" w:eastAsia="Arial" w:hAnsi="Arial"/>
          <w:color w:val="111827"/>
          <w:sz w:val="19"/>
          <w:szCs w:val="19"/>
        </w:rPr>
        <w:t xml:space="preserve">Transcript request created — authorization active yes or no, request type</w:t>
      </w:r>
    </w:p>
    <w:p>
      <w:pPr>
        <w:pStyle w:val="ListParagraph"/>
        <w:numPr>
          <w:ilvl w:val="0"/>
          <w:numId w:val="2"/>
        </w:numPr>
        <w:spacing w:after="40" w:before="40"/>
      </w:pPr>
      <w:r>
        <w:rPr>
          <w:rFonts w:ascii="Arial" w:cs="Arial" w:eastAsia="Arial" w:hAnsi="Arial"/>
          <w:color w:val="111827"/>
          <w:sz w:val="19"/>
          <w:szCs w:val="19"/>
        </w:rPr>
        <w:t xml:space="preserve">Transcript request completed — duration, success yes or no</w:t>
      </w:r>
    </w:p>
    <w:p>
      <w:pPr>
        <w:pStyle w:val="ListParagraph"/>
        <w:numPr>
          <w:ilvl w:val="0"/>
          <w:numId w:val="2"/>
        </w:numPr>
        <w:spacing w:after="40" w:before="40"/>
      </w:pPr>
      <w:r>
        <w:rPr>
          <w:rFonts w:ascii="Arial" w:cs="Arial" w:eastAsia="Arial" w:hAnsi="Arial"/>
          <w:color w:val="111827"/>
          <w:sz w:val="19"/>
          <w:szCs w:val="19"/>
        </w:rPr>
        <w:t xml:space="preserve">Transcript pull frequency per client — how often, how far in advance of deadline</w:t>
      </w:r>
    </w:p>
    <w:p>
      <w:pPr>
        <w:pStyle w:val="ListParagraph"/>
        <w:numPr>
          <w:ilvl w:val="0"/>
          <w:numId w:val="2"/>
        </w:numPr>
        <w:spacing w:after="40" w:before="40"/>
      </w:pPr>
      <w:r>
        <w:rPr>
          <w:rFonts w:ascii="Arial" w:cs="Arial" w:eastAsia="Arial" w:hAnsi="Arial"/>
          <w:color w:val="111827"/>
          <w:sz w:val="19"/>
          <w:szCs w:val="19"/>
        </w:rPr>
        <w:t xml:space="preserve">Extension filing timing — when during the available window filed, not just that it was filed</w:t>
      </w:r>
    </w:p>
    <w:p>
      <w:pPr>
        <w:pStyle w:val="Heading2"/>
        <w:spacing w:after="100" w:before="280"/>
      </w:pPr>
      <w:r>
        <w:rPr>
          <w:rFonts w:ascii="Arial" w:cs="Arial" w:eastAsia="Arial" w:hAnsi="Arial"/>
          <w:b/>
          <w:bCs/>
          <w:color w:val="1F3148"/>
          <w:sz w:val="22"/>
          <w:szCs w:val="22"/>
        </w:rPr>
        <w:t xml:space="preserve">Compliance Intelligence</w:t>
      </w:r>
    </w:p>
    <w:p>
      <w:pPr>
        <w:pStyle w:val="ListParagraph"/>
        <w:numPr>
          <w:ilvl w:val="0"/>
          <w:numId w:val="2"/>
        </w:numPr>
        <w:spacing w:after="40" w:before="40"/>
      </w:pPr>
      <w:r>
        <w:rPr>
          <w:rFonts w:ascii="Arial" w:cs="Arial" w:eastAsia="Arial" w:hAnsi="Arial"/>
          <w:color w:val="111827"/>
          <w:sz w:val="19"/>
          <w:szCs w:val="19"/>
        </w:rPr>
        <w:t xml:space="preserve">Notice type frequency — IRS correspondence categorized by notice type per client and per engagement type</w:t>
      </w:r>
    </w:p>
    <w:p>
      <w:pPr>
        <w:pStyle w:val="ListParagraph"/>
        <w:numPr>
          <w:ilvl w:val="0"/>
          <w:numId w:val="2"/>
        </w:numPr>
        <w:spacing w:after="40" w:before="40"/>
      </w:pPr>
      <w:r>
        <w:rPr>
          <w:rFonts w:ascii="Arial" w:cs="Arial" w:eastAsia="Arial" w:hAnsi="Arial"/>
          <w:color w:val="111827"/>
          <w:sz w:val="19"/>
          <w:szCs w:val="19"/>
        </w:rPr>
        <w:t xml:space="preserve">K-1 dependency delay duration — time added to engagement completion caused by external K-1 wait</w:t>
      </w:r>
    </w:p>
    <w:p>
      <w:pPr>
        <w:pStyle w:val="ListParagraph"/>
        <w:numPr>
          <w:ilvl w:val="0"/>
          <w:numId w:val="2"/>
        </w:numPr>
        <w:spacing w:after="40" w:before="40"/>
      </w:pPr>
      <w:r>
        <w:rPr>
          <w:rFonts w:ascii="Arial" w:cs="Arial" w:eastAsia="Arial" w:hAnsi="Arial"/>
          <w:color w:val="111827"/>
          <w:sz w:val="19"/>
          <w:szCs w:val="19"/>
        </w:rPr>
        <w:t xml:space="preserve">Error discovery timing — whether mistake found internally during review, by client after delivery, or by IRS after filing</w:t>
      </w:r>
    </w:p>
    <w:p>
      <w:pPr>
        <w:pStyle w:val="ListParagraph"/>
        <w:numPr>
          <w:ilvl w:val="0"/>
          <w:numId w:val="2"/>
        </w:numPr>
        <w:spacing w:after="40" w:before="40"/>
      </w:pPr>
      <w:r>
        <w:rPr>
          <w:rFonts w:ascii="Arial" w:cs="Arial" w:eastAsia="Arial" w:hAnsi="Arial"/>
          <w:color w:val="111827"/>
          <w:sz w:val="19"/>
          <w:szCs w:val="19"/>
        </w:rPr>
        <w:t xml:space="preserve">Return delivery method and confirmation — how completed return delivered, whether client confirmed receipt</w:t>
      </w:r>
    </w:p>
    <w:p>
      <w:pPr>
        <w:pStyle w:val="ListParagraph"/>
        <w:numPr>
          <w:ilvl w:val="0"/>
          <w:numId w:val="2"/>
        </w:numPr>
        <w:spacing w:after="40" w:before="40"/>
      </w:pPr>
      <w:r>
        <w:rPr>
          <w:rFonts w:ascii="Arial" w:cs="Arial" w:eastAsia="Arial" w:hAnsi="Arial"/>
          <w:color w:val="111827"/>
          <w:sz w:val="19"/>
          <w:szCs w:val="19"/>
        </w:rPr>
        <w:t xml:space="preserve">Amended return frequency per client and per staff member</w:t>
      </w:r>
    </w:p>
    <w:p>
      <w:pPr>
        <w:pStyle w:val="Heading2"/>
        <w:spacing w:after="100" w:before="280"/>
      </w:pPr>
      <w:r>
        <w:rPr>
          <w:rFonts w:ascii="Arial" w:cs="Arial" w:eastAsia="Arial" w:hAnsi="Arial"/>
          <w:b/>
          <w:bCs/>
          <w:color w:val="1F3148"/>
          <w:sz w:val="22"/>
          <w:szCs w:val="22"/>
        </w:rPr>
        <w:t xml:space="preserve">Firm Regulatory Events</w:t>
      </w:r>
    </w:p>
    <w:p>
      <w:pPr>
        <w:pStyle w:val="ListParagraph"/>
        <w:numPr>
          <w:ilvl w:val="0"/>
          <w:numId w:val="2"/>
        </w:numPr>
        <w:spacing w:after="40" w:before="40"/>
      </w:pPr>
      <w:r>
        <w:rPr>
          <w:rFonts w:ascii="Arial" w:cs="Arial" w:eastAsia="Arial" w:hAnsi="Arial"/>
          <w:color w:val="111827"/>
          <w:sz w:val="19"/>
          <w:szCs w:val="19"/>
        </w:rPr>
        <w:t xml:space="preserve">EFIN registration status and renewal</w:t>
      </w:r>
    </w:p>
    <w:p>
      <w:pPr>
        <w:pStyle w:val="ListParagraph"/>
        <w:numPr>
          <w:ilvl w:val="0"/>
          <w:numId w:val="2"/>
        </w:numPr>
        <w:spacing w:after="40" w:before="40"/>
      </w:pPr>
      <w:r>
        <w:rPr>
          <w:rFonts w:ascii="Arial" w:cs="Arial" w:eastAsia="Arial" w:hAnsi="Arial"/>
          <w:color w:val="111827"/>
          <w:sz w:val="19"/>
          <w:szCs w:val="19"/>
        </w:rPr>
        <w:t xml:space="preserve">CAF number assignment events</w:t>
      </w:r>
    </w:p>
    <w:p>
      <w:pPr>
        <w:pStyle w:val="ListParagraph"/>
        <w:numPr>
          <w:ilvl w:val="0"/>
          <w:numId w:val="2"/>
        </w:numPr>
        <w:spacing w:after="40" w:before="40"/>
      </w:pPr>
      <w:r>
        <w:rPr>
          <w:rFonts w:ascii="Arial" w:cs="Arial" w:eastAsia="Arial" w:hAnsi="Arial"/>
          <w:color w:val="111827"/>
          <w:sz w:val="19"/>
          <w:szCs w:val="19"/>
        </w:rPr>
        <w:t xml:space="preserve">State registration requirement tracking</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07 — Financial Intelligence Domain</w:t>
      </w:r>
    </w:p>
    <w:p>
      <w:pPr>
        <w:spacing w:after="160" w:before="80"/>
      </w:pPr>
      <w:r>
        <w:rPr>
          <w:rFonts w:ascii="Arial" w:cs="Arial" w:eastAsia="Arial" w:hAnsi="Arial"/>
          <w:i/>
          <w:iCs/>
          <w:color w:val="6B7280"/>
          <w:sz w:val="20"/>
          <w:szCs w:val="20"/>
        </w:rPr>
        <w:t xml:space="preserve">Derived financial metrics that require combining multiple event streams into actionable insight.</w:t>
      </w:r>
    </w:p>
    <w:p>
      <w:pPr>
        <w:pStyle w:val="Heading2"/>
        <w:spacing w:after="100" w:before="280"/>
      </w:pPr>
      <w:r>
        <w:rPr>
          <w:rFonts w:ascii="Arial" w:cs="Arial" w:eastAsia="Arial" w:hAnsi="Arial"/>
          <w:b/>
          <w:bCs/>
          <w:color w:val="1F3148"/>
          <w:sz w:val="22"/>
          <w:szCs w:val="22"/>
        </w:rPr>
        <w:t xml:space="preserve">Profitability Intelligence</w:t>
      </w:r>
    </w:p>
    <w:p>
      <w:pPr>
        <w:pStyle w:val="ListParagraph"/>
        <w:numPr>
          <w:ilvl w:val="0"/>
          <w:numId w:val="2"/>
        </w:numPr>
        <w:spacing w:after="40" w:before="40"/>
      </w:pPr>
      <w:r>
        <w:rPr>
          <w:rFonts w:ascii="Arial" w:cs="Arial" w:eastAsia="Arial" w:hAnsi="Arial"/>
          <w:color w:val="111827"/>
          <w:sz w:val="19"/>
          <w:szCs w:val="19"/>
        </w:rPr>
        <w:t xml:space="preserve">Gross margin per engagement — revenue minus staff cost based on hours and loaded hourly rate</w:t>
      </w:r>
    </w:p>
    <w:p>
      <w:pPr>
        <w:pStyle w:val="ListParagraph"/>
        <w:numPr>
          <w:ilvl w:val="0"/>
          <w:numId w:val="2"/>
        </w:numPr>
        <w:spacing w:after="40" w:before="40"/>
      </w:pPr>
      <w:r>
        <w:rPr>
          <w:rFonts w:ascii="Arial" w:cs="Arial" w:eastAsia="Arial" w:hAnsi="Arial"/>
          <w:color w:val="111827"/>
          <w:sz w:val="19"/>
          <w:szCs w:val="19"/>
        </w:rPr>
        <w:t xml:space="preserve">Gross margin per client — cumulative across all engagements</w:t>
      </w:r>
    </w:p>
    <w:p>
      <w:pPr>
        <w:pStyle w:val="ListParagraph"/>
        <w:numPr>
          <w:ilvl w:val="0"/>
          <w:numId w:val="2"/>
        </w:numPr>
        <w:spacing w:after="40" w:before="40"/>
      </w:pPr>
      <w:r>
        <w:rPr>
          <w:rFonts w:ascii="Arial" w:cs="Arial" w:eastAsia="Arial" w:hAnsi="Arial"/>
          <w:color w:val="111827"/>
          <w:sz w:val="19"/>
          <w:szCs w:val="19"/>
        </w:rPr>
        <w:t xml:space="preserve">Gross margin per service type — cumulative across all clients</w:t>
      </w:r>
    </w:p>
    <w:p>
      <w:pPr>
        <w:pStyle w:val="ListParagraph"/>
        <w:numPr>
          <w:ilvl w:val="0"/>
          <w:numId w:val="2"/>
        </w:numPr>
        <w:spacing w:after="40" w:before="40"/>
      </w:pPr>
      <w:r>
        <w:rPr>
          <w:rFonts w:ascii="Arial" w:cs="Arial" w:eastAsia="Arial" w:hAnsi="Arial"/>
          <w:color w:val="111827"/>
          <w:sz w:val="19"/>
          <w:szCs w:val="19"/>
        </w:rPr>
        <w:t xml:space="preserve">Gross margin per staff member — revenue generated versus cost of their time</w:t>
      </w:r>
    </w:p>
    <w:p>
      <w:pPr>
        <w:pStyle w:val="ListParagraph"/>
        <w:numPr>
          <w:ilvl w:val="0"/>
          <w:numId w:val="2"/>
        </w:numPr>
        <w:spacing w:after="40" w:before="40"/>
      </w:pPr>
      <w:r>
        <w:rPr>
          <w:rFonts w:ascii="Arial" w:cs="Arial" w:eastAsia="Arial" w:hAnsi="Arial"/>
          <w:color w:val="111827"/>
          <w:sz w:val="19"/>
          <w:szCs w:val="19"/>
        </w:rPr>
        <w:t xml:space="preserve">Effective hourly rate per engagement type per firm</w:t>
      </w:r>
    </w:p>
    <w:p>
      <w:pPr>
        <w:pStyle w:val="ListParagraph"/>
        <w:numPr>
          <w:ilvl w:val="0"/>
          <w:numId w:val="2"/>
        </w:numPr>
        <w:spacing w:after="40" w:before="40"/>
      </w:pPr>
      <w:r>
        <w:rPr>
          <w:rFonts w:ascii="Arial" w:cs="Arial" w:eastAsia="Arial" w:hAnsi="Arial"/>
          <w:color w:val="111827"/>
          <w:sz w:val="19"/>
          <w:szCs w:val="19"/>
        </w:rPr>
        <w:t xml:space="preserve">Realization rate per staff member — billable hours logged versus hours billed</w:t>
      </w:r>
    </w:p>
    <w:p>
      <w:pPr>
        <w:pStyle w:val="Heading2"/>
        <w:spacing w:after="100" w:before="280"/>
      </w:pPr>
      <w:r>
        <w:rPr>
          <w:rFonts w:ascii="Arial" w:cs="Arial" w:eastAsia="Arial" w:hAnsi="Arial"/>
          <w:b/>
          <w:bCs/>
          <w:color w:val="1F3148"/>
          <w:sz w:val="22"/>
          <w:szCs w:val="22"/>
        </w:rPr>
        <w:t xml:space="preserve">Pricing Intelligence</w:t>
      </w:r>
    </w:p>
    <w:p>
      <w:pPr>
        <w:pStyle w:val="ListParagraph"/>
        <w:numPr>
          <w:ilvl w:val="0"/>
          <w:numId w:val="2"/>
        </w:numPr>
        <w:spacing w:after="40" w:before="40"/>
      </w:pPr>
      <w:r>
        <w:rPr>
          <w:rFonts w:ascii="Arial" w:cs="Arial" w:eastAsia="Arial" w:hAnsi="Arial"/>
          <w:color w:val="111827"/>
          <w:sz w:val="19"/>
          <w:szCs w:val="19"/>
        </w:rPr>
        <w:t xml:space="preserve">Pricing drift flag — fee schedule amounts unchanged for over twelve months, flagged automatically</w:t>
      </w:r>
    </w:p>
    <w:p>
      <w:pPr>
        <w:pStyle w:val="ListParagraph"/>
        <w:numPr>
          <w:ilvl w:val="0"/>
          <w:numId w:val="2"/>
        </w:numPr>
        <w:spacing w:after="40" w:before="40"/>
      </w:pPr>
      <w:r>
        <w:rPr>
          <w:rFonts w:ascii="Arial" w:cs="Arial" w:eastAsia="Arial" w:hAnsi="Arial"/>
          <w:color w:val="111827"/>
          <w:sz w:val="19"/>
          <w:szCs w:val="19"/>
        </w:rPr>
        <w:t xml:space="preserve">Fee versus complexity variance — where actual billed amount is below what complexity modifier system suggests</w:t>
      </w:r>
    </w:p>
    <w:p>
      <w:pPr>
        <w:pStyle w:val="ListParagraph"/>
        <w:numPr>
          <w:ilvl w:val="0"/>
          <w:numId w:val="2"/>
        </w:numPr>
        <w:spacing w:after="40" w:before="40"/>
      </w:pPr>
      <w:r>
        <w:rPr>
          <w:rFonts w:ascii="Arial" w:cs="Arial" w:eastAsia="Arial" w:hAnsi="Arial"/>
          <w:color w:val="111827"/>
          <w:sz w:val="19"/>
          <w:szCs w:val="19"/>
        </w:rPr>
        <w:t xml:space="preserve">Competitor pricing anchor — what prospect was paying for previous solution, captured at signup if offered</w:t>
      </w:r>
    </w:p>
    <w:p>
      <w:pPr>
        <w:pStyle w:val="ListParagraph"/>
        <w:numPr>
          <w:ilvl w:val="0"/>
          <w:numId w:val="2"/>
        </w:numPr>
        <w:spacing w:after="40" w:before="40"/>
      </w:pPr>
      <w:r>
        <w:rPr>
          <w:rFonts w:ascii="Arial" w:cs="Arial" w:eastAsia="Arial" w:hAnsi="Arial"/>
          <w:color w:val="111827"/>
          <w:sz w:val="19"/>
          <w:szCs w:val="19"/>
        </w:rPr>
        <w:t xml:space="preserve">Fee conversation outcomes — fee raise resulted in accepted, negotiated, or churned, self-reported</w:t>
      </w:r>
    </w:p>
    <w:p>
      <w:pPr>
        <w:pStyle w:val="ListParagraph"/>
        <w:numPr>
          <w:ilvl w:val="0"/>
          <w:numId w:val="2"/>
        </w:numPr>
        <w:spacing w:after="40" w:before="40"/>
      </w:pPr>
      <w:r>
        <w:rPr>
          <w:rFonts w:ascii="Arial" w:cs="Arial" w:eastAsia="Arial" w:hAnsi="Arial"/>
          <w:color w:val="111827"/>
          <w:sz w:val="19"/>
          <w:szCs w:val="19"/>
        </w:rPr>
        <w:t xml:space="preserve">Seasonal pricing patterns — whether firm charges different rates for rush work during peak season</w:t>
      </w:r>
    </w:p>
    <w:p>
      <w:pPr>
        <w:pStyle w:val="ListParagraph"/>
        <w:numPr>
          <w:ilvl w:val="0"/>
          <w:numId w:val="2"/>
        </w:numPr>
        <w:spacing w:after="40" w:before="40"/>
      </w:pPr>
      <w:r>
        <w:rPr>
          <w:rFonts w:ascii="Arial" w:cs="Arial" w:eastAsia="Arial" w:hAnsi="Arial"/>
          <w:color w:val="111827"/>
          <w:sz w:val="19"/>
          <w:szCs w:val="19"/>
        </w:rPr>
        <w:t xml:space="preserve">Value delivered versus fee charged — long horizon calculation as outcome data accumulates</w:t>
      </w:r>
    </w:p>
    <w:p>
      <w:pPr>
        <w:pStyle w:val="Heading2"/>
        <w:spacing w:after="100" w:before="280"/>
      </w:pPr>
      <w:r>
        <w:rPr>
          <w:rFonts w:ascii="Arial" w:cs="Arial" w:eastAsia="Arial" w:hAnsi="Arial"/>
          <w:b/>
          <w:bCs/>
          <w:color w:val="1F3148"/>
          <w:sz w:val="22"/>
          <w:szCs w:val="22"/>
        </w:rPr>
        <w:t xml:space="preserve">Revenue Operations</w:t>
      </w:r>
    </w:p>
    <w:p>
      <w:pPr>
        <w:pStyle w:val="ListParagraph"/>
        <w:numPr>
          <w:ilvl w:val="0"/>
          <w:numId w:val="2"/>
        </w:numPr>
        <w:spacing w:after="40" w:before="40"/>
      </w:pPr>
      <w:r>
        <w:rPr>
          <w:rFonts w:ascii="Arial" w:cs="Arial" w:eastAsia="Arial" w:hAnsi="Arial"/>
          <w:color w:val="111827"/>
          <w:sz w:val="19"/>
          <w:szCs w:val="19"/>
        </w:rPr>
        <w:t xml:space="preserve">Referral source profitability — margin and retention correlated to acquisition channel</w:t>
      </w:r>
    </w:p>
    <w:p>
      <w:pPr>
        <w:pStyle w:val="ListParagraph"/>
        <w:numPr>
          <w:ilvl w:val="0"/>
          <w:numId w:val="2"/>
        </w:numPr>
        <w:spacing w:after="40" w:before="40"/>
      </w:pPr>
      <w:r>
        <w:rPr>
          <w:rFonts w:ascii="Arial" w:cs="Arial" w:eastAsia="Arial" w:hAnsi="Arial"/>
          <w:color w:val="111827"/>
          <w:sz w:val="19"/>
          <w:szCs w:val="19"/>
        </w:rPr>
        <w:t xml:space="preserve">Client lifetime value — total revenue over entire relationship</w:t>
      </w:r>
    </w:p>
    <w:p>
      <w:pPr>
        <w:pStyle w:val="ListParagraph"/>
        <w:numPr>
          <w:ilvl w:val="0"/>
          <w:numId w:val="2"/>
        </w:numPr>
        <w:spacing w:after="40" w:before="40"/>
      </w:pPr>
      <w:r>
        <w:rPr>
          <w:rFonts w:ascii="Arial" w:cs="Arial" w:eastAsia="Arial" w:hAnsi="Arial"/>
          <w:color w:val="111827"/>
          <w:sz w:val="19"/>
          <w:szCs w:val="19"/>
        </w:rPr>
        <w:t xml:space="preserve">Revenue per staff member — benchmark against industry for growth readiness calculation</w:t>
      </w:r>
    </w:p>
    <w:p>
      <w:pPr>
        <w:pStyle w:val="ListParagraph"/>
        <w:numPr>
          <w:ilvl w:val="0"/>
          <w:numId w:val="2"/>
        </w:numPr>
        <w:spacing w:after="40" w:before="40"/>
      </w:pPr>
      <w:r>
        <w:rPr>
          <w:rFonts w:ascii="Arial" w:cs="Arial" w:eastAsia="Arial" w:hAnsi="Arial"/>
          <w:color w:val="111827"/>
          <w:sz w:val="19"/>
          <w:szCs w:val="19"/>
        </w:rPr>
        <w:t xml:space="preserve">Capacity ceiling projection — revenue ceiling at current staffing based on utilization data</w:t>
      </w:r>
    </w:p>
    <w:p>
      <w:pPr>
        <w:pStyle w:val="ListParagraph"/>
        <w:numPr>
          <w:ilvl w:val="0"/>
          <w:numId w:val="2"/>
        </w:numPr>
        <w:spacing w:after="40" w:before="40"/>
      </w:pPr>
      <w:r>
        <w:rPr>
          <w:rFonts w:ascii="Arial" w:cs="Arial" w:eastAsia="Arial" w:hAnsi="Arial"/>
          <w:color w:val="111827"/>
          <w:sz w:val="19"/>
          <w:szCs w:val="19"/>
        </w:rPr>
        <w:t xml:space="preserve">Annual versus one-time engagement mix — percentage of recurring annual work versus one-time projects</w:t>
      </w:r>
    </w:p>
    <w:p>
      <w:pPr>
        <w:pStyle w:val="ListParagraph"/>
        <w:numPr>
          <w:ilvl w:val="0"/>
          <w:numId w:val="2"/>
        </w:numPr>
        <w:spacing w:after="40" w:before="40"/>
      </w:pPr>
      <w:r>
        <w:rPr>
          <w:rFonts w:ascii="Arial" w:cs="Arial" w:eastAsia="Arial" w:hAnsi="Arial"/>
          <w:color w:val="111827"/>
          <w:sz w:val="19"/>
          <w:szCs w:val="19"/>
        </w:rPr>
        <w:t xml:space="preserve">Revenue concentration risk — percentage from top clients tracked over time</w:t>
      </w:r>
    </w:p>
    <w:p>
      <w:pPr>
        <w:pStyle w:val="ListParagraph"/>
        <w:numPr>
          <w:ilvl w:val="0"/>
          <w:numId w:val="2"/>
        </w:numPr>
        <w:spacing w:after="40" w:before="40"/>
      </w:pPr>
      <w:r>
        <w:rPr>
          <w:rFonts w:ascii="Arial" w:cs="Arial" w:eastAsia="Arial" w:hAnsi="Arial"/>
          <w:color w:val="111827"/>
          <w:sz w:val="19"/>
          <w:szCs w:val="19"/>
        </w:rPr>
        <w:t xml:space="preserve">Expense tracking — direct costs per engagement if logged, enabling true profitability calculation</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08 — Intelligence and Prediction Domain</w:t>
      </w:r>
    </w:p>
    <w:p>
      <w:pPr>
        <w:spacing w:after="160" w:before="80"/>
      </w:pPr>
      <w:r>
        <w:rPr>
          <w:rFonts w:ascii="Arial" w:cs="Arial" w:eastAsia="Arial" w:hAnsi="Arial"/>
          <w:i/>
          <w:iCs/>
          <w:color w:val="6B7280"/>
          <w:sz w:val="20"/>
          <w:szCs w:val="20"/>
        </w:rPr>
        <w:t xml:space="preserve">Events related to the intelligence layer itself — what gets surfaced, what gets acted on, and how accurate predictions are over time.</w:t>
      </w:r>
    </w:p>
    <w:p>
      <w:pPr>
        <w:pStyle w:val="Heading2"/>
        <w:spacing w:after="100" w:before="280"/>
      </w:pPr>
      <w:r>
        <w:rPr>
          <w:rFonts w:ascii="Arial" w:cs="Arial" w:eastAsia="Arial" w:hAnsi="Arial"/>
          <w:b/>
          <w:bCs/>
          <w:color w:val="1F3148"/>
          <w:sz w:val="22"/>
          <w:szCs w:val="22"/>
        </w:rPr>
        <w:t xml:space="preserve">Intelligence Output Events</w:t>
      </w:r>
    </w:p>
    <w:p>
      <w:pPr>
        <w:pStyle w:val="ListParagraph"/>
        <w:numPr>
          <w:ilvl w:val="0"/>
          <w:numId w:val="2"/>
        </w:numPr>
        <w:spacing w:after="40" w:before="40"/>
      </w:pPr>
      <w:r>
        <w:rPr>
          <w:rFonts w:ascii="Arial" w:cs="Arial" w:eastAsia="Arial" w:hAnsi="Arial"/>
          <w:color w:val="111827"/>
          <w:sz w:val="19"/>
          <w:szCs w:val="19"/>
        </w:rPr>
        <w:t xml:space="preserve">Morning briefing viewed — time of day, which items acted on, which dismissed, how quickly</w:t>
      </w:r>
    </w:p>
    <w:p>
      <w:pPr>
        <w:pStyle w:val="ListParagraph"/>
        <w:numPr>
          <w:ilvl w:val="0"/>
          <w:numId w:val="2"/>
        </w:numPr>
        <w:spacing w:after="40" w:before="40"/>
      </w:pPr>
      <w:r>
        <w:rPr>
          <w:rFonts w:ascii="Arial" w:cs="Arial" w:eastAsia="Arial" w:hAnsi="Arial"/>
          <w:color w:val="111827"/>
          <w:sz w:val="19"/>
          <w:szCs w:val="19"/>
        </w:rPr>
        <w:t xml:space="preserve">Morning briefing item click-through rate — of items surfaced, which produce action</w:t>
      </w:r>
    </w:p>
    <w:p>
      <w:pPr>
        <w:pStyle w:val="ListParagraph"/>
        <w:numPr>
          <w:ilvl w:val="0"/>
          <w:numId w:val="2"/>
        </w:numPr>
        <w:spacing w:after="40" w:before="40"/>
      </w:pPr>
      <w:r>
        <w:rPr>
          <w:rFonts w:ascii="Arial" w:cs="Arial" w:eastAsia="Arial" w:hAnsi="Arial"/>
          <w:color w:val="111827"/>
          <w:sz w:val="19"/>
          <w:szCs w:val="19"/>
        </w:rPr>
        <w:t xml:space="preserve">Morning briefing item resolution time — how long after surfacing until underlying issue resolved</w:t>
      </w:r>
    </w:p>
    <w:p>
      <w:pPr>
        <w:pStyle w:val="ListParagraph"/>
        <w:numPr>
          <w:ilvl w:val="0"/>
          <w:numId w:val="2"/>
        </w:numPr>
        <w:spacing w:after="40" w:before="40"/>
      </w:pPr>
      <w:r>
        <w:rPr>
          <w:rFonts w:ascii="Arial" w:cs="Arial" w:eastAsia="Arial" w:hAnsi="Arial"/>
          <w:color w:val="111827"/>
          <w:sz w:val="19"/>
          <w:szCs w:val="19"/>
        </w:rPr>
        <w:t xml:space="preserve">Intelligence notification sent — type, what triggered it, time of day</w:t>
      </w:r>
    </w:p>
    <w:p>
      <w:pPr>
        <w:pStyle w:val="ListParagraph"/>
        <w:numPr>
          <w:ilvl w:val="0"/>
          <w:numId w:val="2"/>
        </w:numPr>
        <w:spacing w:after="40" w:before="40"/>
      </w:pPr>
      <w:r>
        <w:rPr>
          <w:rFonts w:ascii="Arial" w:cs="Arial" w:eastAsia="Arial" w:hAnsi="Arial"/>
          <w:color w:val="111827"/>
          <w:sz w:val="19"/>
          <w:szCs w:val="19"/>
        </w:rPr>
        <w:t xml:space="preserve">Intelligence notification acted on — yes or no, time from sent to action</w:t>
      </w:r>
    </w:p>
    <w:p>
      <w:pPr>
        <w:pStyle w:val="ListParagraph"/>
        <w:numPr>
          <w:ilvl w:val="0"/>
          <w:numId w:val="2"/>
        </w:numPr>
        <w:spacing w:after="40" w:before="40"/>
      </w:pPr>
      <w:r>
        <w:rPr>
          <w:rFonts w:ascii="Arial" w:cs="Arial" w:eastAsia="Arial" w:hAnsi="Arial"/>
          <w:color w:val="111827"/>
          <w:sz w:val="19"/>
          <w:szCs w:val="19"/>
        </w:rPr>
        <w:t xml:space="preserve">Intelligence notification dismissed — how quickly dismissed after delivery</w:t>
      </w:r>
    </w:p>
    <w:p>
      <w:pPr>
        <w:pStyle w:val="ListParagraph"/>
        <w:numPr>
          <w:ilvl w:val="0"/>
          <w:numId w:val="2"/>
        </w:numPr>
        <w:spacing w:after="40" w:before="40"/>
      </w:pPr>
      <w:r>
        <w:rPr>
          <w:rFonts w:ascii="Arial" w:cs="Arial" w:eastAsia="Arial" w:hAnsi="Arial"/>
          <w:color w:val="111827"/>
          <w:sz w:val="19"/>
          <w:szCs w:val="19"/>
        </w:rPr>
        <w:t xml:space="preserve">Benchmark report viewed — time of day, scroll depth, which sections engaged</w:t>
      </w:r>
    </w:p>
    <w:p>
      <w:pPr>
        <w:pStyle w:val="ListParagraph"/>
        <w:numPr>
          <w:ilvl w:val="0"/>
          <w:numId w:val="2"/>
        </w:numPr>
        <w:spacing w:after="40" w:before="40"/>
      </w:pPr>
      <w:r>
        <w:rPr>
          <w:rFonts w:ascii="Arial" w:cs="Arial" w:eastAsia="Arial" w:hAnsi="Arial"/>
          <w:color w:val="111827"/>
          <w:sz w:val="19"/>
          <w:szCs w:val="19"/>
        </w:rPr>
        <w:t xml:space="preserve">Competition leaderboard viewed — by Ring Two firms, frequency, timing within sixty day window</w:t>
      </w:r>
    </w:p>
    <w:p>
      <w:pPr>
        <w:pStyle w:val="Heading2"/>
        <w:spacing w:after="100" w:before="280"/>
      </w:pPr>
      <w:r>
        <w:rPr>
          <w:rFonts w:ascii="Arial" w:cs="Arial" w:eastAsia="Arial" w:hAnsi="Arial"/>
          <w:b/>
          <w:bCs/>
          <w:color w:val="1F3148"/>
          <w:sz w:val="22"/>
          <w:szCs w:val="22"/>
        </w:rPr>
        <w:t xml:space="preserve">Prediction Accuracy Tracking</w:t>
      </w:r>
    </w:p>
    <w:p>
      <w:pPr>
        <w:pStyle w:val="ListParagraph"/>
        <w:numPr>
          <w:ilvl w:val="0"/>
          <w:numId w:val="2"/>
        </w:numPr>
        <w:spacing w:after="40" w:before="40"/>
      </w:pPr>
      <w:r>
        <w:rPr>
          <w:rFonts w:ascii="Arial" w:cs="Arial" w:eastAsia="Arial" w:hAnsi="Arial"/>
          <w:color w:val="111827"/>
          <w:sz w:val="19"/>
          <w:szCs w:val="19"/>
        </w:rPr>
        <w:t xml:space="preserve">Prediction made — type, confidence signal, what triggered it, timestamp</w:t>
      </w:r>
    </w:p>
    <w:p>
      <w:pPr>
        <w:pStyle w:val="ListParagraph"/>
        <w:numPr>
          <w:ilvl w:val="0"/>
          <w:numId w:val="2"/>
        </w:numPr>
        <w:spacing w:after="40" w:before="40"/>
      </w:pPr>
      <w:r>
        <w:rPr>
          <w:rFonts w:ascii="Arial" w:cs="Arial" w:eastAsia="Arial" w:hAnsi="Arial"/>
          <w:color w:val="111827"/>
          <w:sz w:val="19"/>
          <w:szCs w:val="19"/>
        </w:rPr>
        <w:t xml:space="preserve">Prediction outcome — whether predicted problem or opportunity actually materialized</w:t>
      </w:r>
    </w:p>
    <w:p>
      <w:pPr>
        <w:pStyle w:val="ListParagraph"/>
        <w:numPr>
          <w:ilvl w:val="0"/>
          <w:numId w:val="2"/>
        </w:numPr>
        <w:spacing w:after="40" w:before="40"/>
      </w:pPr>
      <w:r>
        <w:rPr>
          <w:rFonts w:ascii="Arial" w:cs="Arial" w:eastAsia="Arial" w:hAnsi="Arial"/>
          <w:color w:val="111827"/>
          <w:sz w:val="19"/>
          <w:szCs w:val="19"/>
        </w:rPr>
        <w:t xml:space="preserve">Prediction accuracy rate per type — foundation of trust layer for intelligence system</w:t>
      </w:r>
    </w:p>
    <w:p>
      <w:pPr>
        <w:pStyle w:val="ListParagraph"/>
        <w:numPr>
          <w:ilvl w:val="0"/>
          <w:numId w:val="2"/>
        </w:numPr>
        <w:spacing w:after="40" w:before="40"/>
      </w:pPr>
      <w:r>
        <w:rPr>
          <w:rFonts w:ascii="Arial" w:cs="Arial" w:eastAsia="Arial" w:hAnsi="Arial"/>
          <w:color w:val="111827"/>
          <w:sz w:val="19"/>
          <w:szCs w:val="19"/>
        </w:rPr>
        <w:t xml:space="preserve">Briefing personalization signals — which item types get most engagement from which firm profiles</w:t>
      </w:r>
    </w:p>
    <w:p>
      <w:pPr>
        <w:pStyle w:val="ListParagraph"/>
        <w:numPr>
          <w:ilvl w:val="0"/>
          <w:numId w:val="2"/>
        </w:numPr>
        <w:spacing w:after="40" w:before="40"/>
      </w:pPr>
      <w:r>
        <w:rPr>
          <w:rFonts w:ascii="Arial" w:cs="Arial" w:eastAsia="Arial" w:hAnsi="Arial"/>
          <w:color w:val="111827"/>
          <w:sz w:val="19"/>
          <w:szCs w:val="19"/>
        </w:rPr>
        <w:t xml:space="preserve">Briefing timing optimization — engagement patterns by delivery time per user</w:t>
      </w:r>
    </w:p>
    <w:p>
      <w:pPr>
        <w:pStyle w:val="Heading2"/>
        <w:spacing w:after="100" w:before="280"/>
      </w:pPr>
      <w:r>
        <w:rPr>
          <w:rFonts w:ascii="Arial" w:cs="Arial" w:eastAsia="Arial" w:hAnsi="Arial"/>
          <w:b/>
          <w:bCs/>
          <w:color w:val="1F3148"/>
          <w:sz w:val="22"/>
          <w:szCs w:val="22"/>
        </w:rPr>
        <w:t xml:space="preserve">Index and Benchmark Events</w:t>
      </w:r>
    </w:p>
    <w:p>
      <w:pPr>
        <w:pStyle w:val="ListParagraph"/>
        <w:numPr>
          <w:ilvl w:val="0"/>
          <w:numId w:val="2"/>
        </w:numPr>
        <w:spacing w:after="40" w:before="40"/>
      </w:pPr>
      <w:r>
        <w:rPr>
          <w:rFonts w:ascii="Arial" w:cs="Arial" w:eastAsia="Arial" w:hAnsi="Arial"/>
          <w:color w:val="111827"/>
          <w:sz w:val="19"/>
          <w:szCs w:val="19"/>
        </w:rPr>
        <w:t xml:space="preserve">Derived index metric values stored with timestamps — engagement velocity, document collection speed, invoice payment time, portal adoption rate, automation utilization, deadline adherence each stored as calculated values for trajectory tracking</w:t>
      </w:r>
    </w:p>
    <w:p>
      <w:pPr>
        <w:pStyle w:val="ListParagraph"/>
        <w:numPr>
          <w:ilvl w:val="0"/>
          <w:numId w:val="2"/>
        </w:numPr>
        <w:spacing w:after="40" w:before="40"/>
      </w:pPr>
      <w:r>
        <w:rPr>
          <w:rFonts w:ascii="Arial" w:cs="Arial" w:eastAsia="Arial" w:hAnsi="Arial"/>
          <w:color w:val="111827"/>
          <w:sz w:val="19"/>
          <w:szCs w:val="19"/>
        </w:rPr>
        <w:t xml:space="preserve">Cohort assignment events — which cohort assigned, criteria used, timestamp so historical cohort membership is preserved</w:t>
      </w:r>
    </w:p>
    <w:p>
      <w:pPr>
        <w:pStyle w:val="ListParagraph"/>
        <w:numPr>
          <w:ilvl w:val="0"/>
          <w:numId w:val="2"/>
        </w:numPr>
        <w:spacing w:after="40" w:before="40"/>
      </w:pPr>
      <w:r>
        <w:rPr>
          <w:rFonts w:ascii="Arial" w:cs="Arial" w:eastAsia="Arial" w:hAnsi="Arial"/>
          <w:color w:val="111827"/>
          <w:sz w:val="19"/>
          <w:szCs w:val="19"/>
        </w:rPr>
        <w:t xml:space="preserve">Benchmark snapshot events — what the benchmark said at each calculation point, timestamped, so firms can see how benchmark itself has changed</w:t>
      </w:r>
    </w:p>
    <w:p>
      <w:pPr>
        <w:pStyle w:val="ListParagraph"/>
        <w:numPr>
          <w:ilvl w:val="0"/>
          <w:numId w:val="2"/>
        </w:numPr>
        <w:spacing w:after="40" w:before="40"/>
      </w:pPr>
      <w:r>
        <w:rPr>
          <w:rFonts w:ascii="Arial" w:cs="Arial" w:eastAsia="Arial" w:hAnsi="Arial"/>
          <w:color w:val="111827"/>
          <w:sz w:val="19"/>
          <w:szCs w:val="19"/>
        </w:rPr>
        <w:t xml:space="preserve">Data collection consent granted or withdrawn — timestamped, plan tier at time of decision</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09 — Onboarding and Lifecycle Domain</w:t>
      </w:r>
    </w:p>
    <w:p>
      <w:pPr>
        <w:spacing w:after="160" w:before="80"/>
      </w:pPr>
      <w:r>
        <w:rPr>
          <w:rFonts w:ascii="Arial" w:cs="Arial" w:eastAsia="Arial" w:hAnsi="Arial"/>
          <w:i/>
          <w:iCs/>
          <w:color w:val="6B7280"/>
          <w:sz w:val="20"/>
          <w:szCs w:val="20"/>
        </w:rPr>
        <w:t xml:space="preserve">Every milestone in a firm's journey from signup through cancellation and potential reactivation.</w:t>
      </w:r>
    </w:p>
    <w:p>
      <w:pPr>
        <w:pStyle w:val="Heading2"/>
        <w:spacing w:after="100" w:before="280"/>
      </w:pPr>
      <w:r>
        <w:rPr>
          <w:rFonts w:ascii="Arial" w:cs="Arial" w:eastAsia="Arial" w:hAnsi="Arial"/>
          <w:b/>
          <w:bCs/>
          <w:color w:val="1F3148"/>
          <w:sz w:val="22"/>
          <w:szCs w:val="22"/>
        </w:rPr>
        <w:t xml:space="preserve">Firm Creation and Onboarding</w:t>
      </w:r>
    </w:p>
    <w:p>
      <w:pPr>
        <w:pStyle w:val="ListParagraph"/>
        <w:numPr>
          <w:ilvl w:val="0"/>
          <w:numId w:val="2"/>
        </w:numPr>
        <w:spacing w:after="40" w:before="40"/>
      </w:pPr>
      <w:r>
        <w:rPr>
          <w:rFonts w:ascii="Arial" w:cs="Arial" w:eastAsia="Arial" w:hAnsi="Arial"/>
          <w:color w:val="111827"/>
          <w:sz w:val="19"/>
          <w:szCs w:val="19"/>
        </w:rPr>
        <w:t xml:space="preserve">Firm created — plan tier, referral source, signup time, marketing channel if trackable</w:t>
      </w:r>
    </w:p>
    <w:p>
      <w:pPr>
        <w:pStyle w:val="ListParagraph"/>
        <w:numPr>
          <w:ilvl w:val="0"/>
          <w:numId w:val="2"/>
        </w:numPr>
        <w:spacing w:after="40" w:before="40"/>
      </w:pPr>
      <w:r>
        <w:rPr>
          <w:rFonts w:ascii="Arial" w:cs="Arial" w:eastAsia="Arial" w:hAnsi="Arial"/>
          <w:color w:val="111827"/>
          <w:sz w:val="19"/>
          <w:szCs w:val="19"/>
        </w:rPr>
        <w:t xml:space="preserve">Onboarding step completed — which step, time since previous step, time since firm creation</w:t>
      </w:r>
    </w:p>
    <w:p>
      <w:pPr>
        <w:pStyle w:val="ListParagraph"/>
        <w:numPr>
          <w:ilvl w:val="0"/>
          <w:numId w:val="2"/>
        </w:numPr>
        <w:spacing w:after="40" w:before="40"/>
      </w:pPr>
      <w:r>
        <w:rPr>
          <w:rFonts w:ascii="Arial" w:cs="Arial" w:eastAsia="Arial" w:hAnsi="Arial"/>
          <w:color w:val="111827"/>
          <w:sz w:val="19"/>
          <w:szCs w:val="19"/>
        </w:rPr>
        <w:t xml:space="preserve">Onboarding abandonment — exactly which step momentum breaks and firm doesn't return</w:t>
      </w:r>
    </w:p>
    <w:p>
      <w:pPr>
        <w:pStyle w:val="ListParagraph"/>
        <w:numPr>
          <w:ilvl w:val="0"/>
          <w:numId w:val="2"/>
        </w:numPr>
        <w:spacing w:after="40" w:before="40"/>
      </w:pPr>
      <w:r>
        <w:rPr>
          <w:rFonts w:ascii="Arial" w:cs="Arial" w:eastAsia="Arial" w:hAnsi="Arial"/>
          <w:color w:val="111827"/>
          <w:sz w:val="19"/>
          <w:szCs w:val="19"/>
        </w:rPr>
        <w:t xml:space="preserve">First client created</w:t>
      </w:r>
    </w:p>
    <w:p>
      <w:pPr>
        <w:pStyle w:val="ListParagraph"/>
        <w:numPr>
          <w:ilvl w:val="0"/>
          <w:numId w:val="2"/>
        </w:numPr>
        <w:spacing w:after="40" w:before="40"/>
      </w:pPr>
      <w:r>
        <w:rPr>
          <w:rFonts w:ascii="Arial" w:cs="Arial" w:eastAsia="Arial" w:hAnsi="Arial"/>
          <w:color w:val="111827"/>
          <w:sz w:val="19"/>
          <w:szCs w:val="19"/>
        </w:rPr>
        <w:t xml:space="preserve">First engagement created</w:t>
      </w:r>
    </w:p>
    <w:p>
      <w:pPr>
        <w:pStyle w:val="ListParagraph"/>
        <w:numPr>
          <w:ilvl w:val="0"/>
          <w:numId w:val="2"/>
        </w:numPr>
        <w:spacing w:after="40" w:before="40"/>
      </w:pPr>
      <w:r>
        <w:rPr>
          <w:rFonts w:ascii="Arial" w:cs="Arial" w:eastAsia="Arial" w:hAnsi="Arial"/>
          <w:color w:val="111827"/>
          <w:sz w:val="19"/>
          <w:szCs w:val="19"/>
        </w:rPr>
        <w:t xml:space="preserve">First document request sent</w:t>
      </w:r>
    </w:p>
    <w:p>
      <w:pPr>
        <w:pStyle w:val="ListParagraph"/>
        <w:numPr>
          <w:ilvl w:val="0"/>
          <w:numId w:val="2"/>
        </w:numPr>
        <w:spacing w:after="40" w:before="40"/>
      </w:pPr>
      <w:r>
        <w:rPr>
          <w:rFonts w:ascii="Arial" w:cs="Arial" w:eastAsia="Arial" w:hAnsi="Arial"/>
          <w:color w:val="111827"/>
          <w:sz w:val="19"/>
          <w:szCs w:val="19"/>
        </w:rPr>
        <w:t xml:space="preserve">First automation enabled</w:t>
      </w:r>
    </w:p>
    <w:p>
      <w:pPr>
        <w:pStyle w:val="ListParagraph"/>
        <w:numPr>
          <w:ilvl w:val="0"/>
          <w:numId w:val="2"/>
        </w:numPr>
        <w:spacing w:after="40" w:before="40"/>
      </w:pPr>
      <w:r>
        <w:rPr>
          <w:rFonts w:ascii="Arial" w:cs="Arial" w:eastAsia="Arial" w:hAnsi="Arial"/>
          <w:color w:val="111827"/>
          <w:sz w:val="19"/>
          <w:szCs w:val="19"/>
        </w:rPr>
        <w:t xml:space="preserve">First invoice sent</w:t>
      </w:r>
    </w:p>
    <w:p>
      <w:pPr>
        <w:pStyle w:val="ListParagraph"/>
        <w:numPr>
          <w:ilvl w:val="0"/>
          <w:numId w:val="2"/>
        </w:numPr>
        <w:spacing w:after="40" w:before="40"/>
      </w:pPr>
      <w:r>
        <w:rPr>
          <w:rFonts w:ascii="Arial" w:cs="Arial" w:eastAsia="Arial" w:hAnsi="Arial"/>
          <w:color w:val="111827"/>
          <w:sz w:val="19"/>
          <w:szCs w:val="19"/>
        </w:rPr>
        <w:t xml:space="preserve">First portal login by client</w:t>
      </w:r>
    </w:p>
    <w:p>
      <w:pPr>
        <w:pStyle w:val="Heading2"/>
        <w:spacing w:after="100" w:before="280"/>
      </w:pPr>
      <w:r>
        <w:rPr>
          <w:rFonts w:ascii="Arial" w:cs="Arial" w:eastAsia="Arial" w:hAnsi="Arial"/>
          <w:b/>
          <w:bCs/>
          <w:color w:val="1F3148"/>
          <w:sz w:val="22"/>
          <w:szCs w:val="22"/>
        </w:rPr>
        <w:t xml:space="preserve">Adoption Milestones</w:t>
      </w:r>
    </w:p>
    <w:p>
      <w:pPr>
        <w:pStyle w:val="ListParagraph"/>
        <w:numPr>
          <w:ilvl w:val="0"/>
          <w:numId w:val="2"/>
        </w:numPr>
        <w:spacing w:after="40" w:before="40"/>
      </w:pPr>
      <w:r>
        <w:rPr>
          <w:rFonts w:ascii="Arial" w:cs="Arial" w:eastAsia="Arial" w:hAnsi="Arial"/>
          <w:color w:val="111827"/>
          <w:sz w:val="19"/>
          <w:szCs w:val="19"/>
        </w:rPr>
        <w:t xml:space="preserve">Feature adoption timeline — when firm first uses each major feature after onboarding</w:t>
      </w:r>
    </w:p>
    <w:p>
      <w:pPr>
        <w:pStyle w:val="ListParagraph"/>
        <w:numPr>
          <w:ilvl w:val="0"/>
          <w:numId w:val="2"/>
        </w:numPr>
        <w:spacing w:after="40" w:before="40"/>
      </w:pPr>
      <w:r>
        <w:rPr>
          <w:rFonts w:ascii="Arial" w:cs="Arial" w:eastAsia="Arial" w:hAnsi="Arial"/>
          <w:color w:val="111827"/>
          <w:sz w:val="19"/>
          <w:szCs w:val="19"/>
        </w:rPr>
        <w:t xml:space="preserve">Onboarding completion rate and time to completion</w:t>
      </w:r>
    </w:p>
    <w:p>
      <w:pPr>
        <w:pStyle w:val="ListParagraph"/>
        <w:numPr>
          <w:ilvl w:val="0"/>
          <w:numId w:val="2"/>
        </w:numPr>
        <w:spacing w:after="40" w:before="40"/>
      </w:pPr>
      <w:r>
        <w:rPr>
          <w:rFonts w:ascii="Arial" w:cs="Arial" w:eastAsia="Arial" w:hAnsi="Arial"/>
          <w:color w:val="111827"/>
          <w:sz w:val="19"/>
          <w:szCs w:val="19"/>
        </w:rPr>
        <w:t xml:space="preserve">Aha moment detection — specific action sequence that precedes spike in engagement, to be identified from behavioral data</w:t>
      </w:r>
    </w:p>
    <w:p>
      <w:pPr>
        <w:pStyle w:val="ListParagraph"/>
        <w:numPr>
          <w:ilvl w:val="0"/>
          <w:numId w:val="2"/>
        </w:numPr>
        <w:spacing w:after="40" w:before="40"/>
      </w:pPr>
      <w:r>
        <w:rPr>
          <w:rFonts w:ascii="Arial" w:cs="Arial" w:eastAsia="Arial" w:hAnsi="Arial"/>
          <w:color w:val="111827"/>
          <w:sz w:val="19"/>
          <w:szCs w:val="19"/>
        </w:rPr>
        <w:t xml:space="preserve">Power user identification — staff members using platform at significantly higher depth and frequency than average</w:t>
      </w:r>
    </w:p>
    <w:p>
      <w:pPr>
        <w:pStyle w:val="ListParagraph"/>
        <w:numPr>
          <w:ilvl w:val="0"/>
          <w:numId w:val="2"/>
        </w:numPr>
        <w:spacing w:after="40" w:before="40"/>
      </w:pPr>
      <w:r>
        <w:rPr>
          <w:rFonts w:ascii="Arial" w:cs="Arial" w:eastAsia="Arial" w:hAnsi="Arial"/>
          <w:color w:val="111827"/>
          <w:sz w:val="19"/>
          <w:szCs w:val="19"/>
        </w:rPr>
        <w:t xml:space="preserve">Habit formation signals — login consistency patterns, same time daily versus erratic</w:t>
      </w:r>
    </w:p>
    <w:p>
      <w:pPr>
        <w:pStyle w:val="ListParagraph"/>
        <w:numPr>
          <w:ilvl w:val="0"/>
          <w:numId w:val="2"/>
        </w:numPr>
        <w:spacing w:after="40" w:before="40"/>
      </w:pPr>
      <w:r>
        <w:rPr>
          <w:rFonts w:ascii="Arial" w:cs="Arial" w:eastAsia="Arial" w:hAnsi="Arial"/>
          <w:color w:val="111827"/>
          <w:sz w:val="19"/>
          <w:szCs w:val="19"/>
        </w:rPr>
        <w:t xml:space="preserve">Passive versus active usage ratio — consuming information versus creating and updating</w:t>
      </w:r>
    </w:p>
    <w:p>
      <w:pPr>
        <w:pStyle w:val="Heading2"/>
        <w:spacing w:after="100" w:before="280"/>
      </w:pPr>
      <w:r>
        <w:rPr>
          <w:rFonts w:ascii="Arial" w:cs="Arial" w:eastAsia="Arial" w:hAnsi="Arial"/>
          <w:b/>
          <w:bCs/>
          <w:color w:val="1F3148"/>
          <w:sz w:val="22"/>
          <w:szCs w:val="22"/>
        </w:rPr>
        <w:t xml:space="preserve">Lifecycle Events</w:t>
      </w:r>
    </w:p>
    <w:p>
      <w:pPr>
        <w:pStyle w:val="ListParagraph"/>
        <w:numPr>
          <w:ilvl w:val="0"/>
          <w:numId w:val="2"/>
        </w:numPr>
        <w:spacing w:after="40" w:before="40"/>
      </w:pPr>
      <w:r>
        <w:rPr>
          <w:rFonts w:ascii="Arial" w:cs="Arial" w:eastAsia="Arial" w:hAnsi="Arial"/>
          <w:color w:val="111827"/>
          <w:sz w:val="19"/>
          <w:szCs w:val="19"/>
        </w:rPr>
        <w:t xml:space="preserve">Subscription changed — from plan, to plan, direction, time since creation</w:t>
      </w:r>
    </w:p>
    <w:p>
      <w:pPr>
        <w:pStyle w:val="ListParagraph"/>
        <w:numPr>
          <w:ilvl w:val="0"/>
          <w:numId w:val="2"/>
        </w:numPr>
        <w:spacing w:after="40" w:before="40"/>
      </w:pPr>
      <w:r>
        <w:rPr>
          <w:rFonts w:ascii="Arial" w:cs="Arial" w:eastAsia="Arial" w:hAnsi="Arial"/>
          <w:color w:val="111827"/>
          <w:sz w:val="19"/>
          <w:szCs w:val="19"/>
        </w:rPr>
        <w:t xml:space="preserve">Subscription cancelled — plan, tenure, last active date, features used, reason if captured</w:t>
      </w:r>
    </w:p>
    <w:p>
      <w:pPr>
        <w:pStyle w:val="ListParagraph"/>
        <w:numPr>
          <w:ilvl w:val="0"/>
          <w:numId w:val="2"/>
        </w:numPr>
        <w:spacing w:after="40" w:before="40"/>
      </w:pPr>
      <w:r>
        <w:rPr>
          <w:rFonts w:ascii="Arial" w:cs="Arial" w:eastAsia="Arial" w:hAnsi="Arial"/>
          <w:color w:val="111827"/>
          <w:sz w:val="19"/>
          <w:szCs w:val="19"/>
        </w:rPr>
        <w:t xml:space="preserve">Subscription reactivated — time since cancellation, plan selected</w:t>
      </w:r>
    </w:p>
    <w:p>
      <w:pPr>
        <w:pStyle w:val="ListParagraph"/>
        <w:numPr>
          <w:ilvl w:val="0"/>
          <w:numId w:val="2"/>
        </w:numPr>
        <w:spacing w:after="40" w:before="40"/>
      </w:pPr>
      <w:r>
        <w:rPr>
          <w:rFonts w:ascii="Arial" w:cs="Arial" w:eastAsia="Arial" w:hAnsi="Arial"/>
          <w:color w:val="111827"/>
          <w:sz w:val="19"/>
          <w:szCs w:val="19"/>
        </w:rPr>
        <w:t xml:space="preserve">Engagement creation velocity over time — more or fewer engagements per month versus six months ago</w:t>
      </w:r>
    </w:p>
    <w:p>
      <w:pPr>
        <w:pStyle w:val="ListParagraph"/>
        <w:numPr>
          <w:ilvl w:val="0"/>
          <w:numId w:val="2"/>
        </w:numPr>
        <w:spacing w:after="40" w:before="40"/>
      </w:pPr>
      <w:r>
        <w:rPr>
          <w:rFonts w:ascii="Arial" w:cs="Arial" w:eastAsia="Arial" w:hAnsi="Arial"/>
          <w:color w:val="111827"/>
          <w:sz w:val="19"/>
          <w:szCs w:val="19"/>
        </w:rPr>
        <w:t xml:space="preserve">Client roster growth rate — adding clients, losing them, or stable</w:t>
      </w:r>
    </w:p>
    <w:p>
      <w:pPr>
        <w:pStyle w:val="ListParagraph"/>
        <w:numPr>
          <w:ilvl w:val="0"/>
          <w:numId w:val="2"/>
        </w:numPr>
        <w:spacing w:after="40" w:before="40"/>
      </w:pPr>
      <w:r>
        <w:rPr>
          <w:rFonts w:ascii="Arial" w:cs="Arial" w:eastAsia="Arial" w:hAnsi="Arial"/>
          <w:color w:val="111827"/>
          <w:sz w:val="19"/>
          <w:szCs w:val="19"/>
        </w:rPr>
        <w:t xml:space="preserve">Staff count changes — when firm adds or removes staff users</w:t>
      </w:r>
    </w:p>
    <w:p>
      <w:pPr>
        <w:pStyle w:val="ListParagraph"/>
        <w:numPr>
          <w:ilvl w:val="0"/>
          <w:numId w:val="2"/>
        </w:numPr>
        <w:spacing w:after="40" w:before="40"/>
      </w:pPr>
      <w:r>
        <w:rPr>
          <w:rFonts w:ascii="Arial" w:cs="Arial" w:eastAsia="Arial" w:hAnsi="Arial"/>
          <w:color w:val="111827"/>
          <w:sz w:val="19"/>
          <w:szCs w:val="19"/>
        </w:rPr>
        <w:t xml:space="preserve">Login frequency decay — rate at which login frequency changes over time</w:t>
      </w:r>
    </w:p>
    <w:p>
      <w:pPr>
        <w:pStyle w:val="ListParagraph"/>
        <w:numPr>
          <w:ilvl w:val="0"/>
          <w:numId w:val="2"/>
        </w:numPr>
        <w:spacing w:after="40" w:before="40"/>
      </w:pPr>
      <w:r>
        <w:rPr>
          <w:rFonts w:ascii="Arial" w:cs="Arial" w:eastAsia="Arial" w:hAnsi="Arial"/>
          <w:color w:val="111827"/>
          <w:sz w:val="19"/>
          <w:szCs w:val="19"/>
        </w:rPr>
        <w:t xml:space="preserve">Feature disengagement sequence — which features get abandoned first before cancellation</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10 — Client Acquisition Intelligence Domain</w:t>
      </w:r>
    </w:p>
    <w:p>
      <w:pPr>
        <w:spacing w:after="160" w:before="80"/>
      </w:pPr>
      <w:r>
        <w:rPr>
          <w:rFonts w:ascii="Arial" w:cs="Arial" w:eastAsia="Arial" w:hAnsi="Arial"/>
          <w:i/>
          <w:iCs/>
          <w:color w:val="6B7280"/>
          <w:sz w:val="20"/>
          <w:szCs w:val="20"/>
        </w:rPr>
        <w:t xml:space="preserve">Data about how firms find JAMM PX and how JAMM PX can eventually help firms understand how they acquire their own clients.</w:t>
      </w:r>
    </w:p>
    <w:p>
      <w:pPr>
        <w:pStyle w:val="Heading2"/>
        <w:spacing w:after="100" w:before="280"/>
      </w:pPr>
      <w:r>
        <w:rPr>
          <w:rFonts w:ascii="Arial" w:cs="Arial" w:eastAsia="Arial" w:hAnsi="Arial"/>
          <w:b/>
          <w:bCs/>
          <w:color w:val="1F3148"/>
          <w:sz w:val="22"/>
          <w:szCs w:val="22"/>
        </w:rPr>
        <w:t xml:space="preserve">JAMM PX Acquisition Events</w:t>
      </w:r>
    </w:p>
    <w:p>
      <w:pPr>
        <w:pStyle w:val="ListParagraph"/>
        <w:numPr>
          <w:ilvl w:val="0"/>
          <w:numId w:val="2"/>
        </w:numPr>
        <w:spacing w:after="40" w:before="40"/>
      </w:pPr>
      <w:r>
        <w:rPr>
          <w:rFonts w:ascii="Arial" w:cs="Arial" w:eastAsia="Arial" w:hAnsi="Arial"/>
          <w:color w:val="111827"/>
          <w:sz w:val="19"/>
          <w:szCs w:val="19"/>
        </w:rPr>
        <w:t xml:space="preserve">Marketing channel at signup — landing page variant, referral link, outreach sequence, organic search</w:t>
      </w:r>
    </w:p>
    <w:p>
      <w:pPr>
        <w:pStyle w:val="ListParagraph"/>
        <w:numPr>
          <w:ilvl w:val="0"/>
          <w:numId w:val="2"/>
        </w:numPr>
        <w:spacing w:after="40" w:before="40"/>
      </w:pPr>
      <w:r>
        <w:rPr>
          <w:rFonts w:ascii="Arial" w:cs="Arial" w:eastAsia="Arial" w:hAnsi="Arial"/>
          <w:color w:val="111827"/>
          <w:sz w:val="19"/>
          <w:szCs w:val="19"/>
        </w:rPr>
        <w:t xml:space="preserve">Time from first contact to signup — conversion timeline by channel and firm profile</w:t>
      </w:r>
    </w:p>
    <w:p>
      <w:pPr>
        <w:pStyle w:val="ListParagraph"/>
        <w:numPr>
          <w:ilvl w:val="0"/>
          <w:numId w:val="2"/>
        </w:numPr>
        <w:spacing w:after="40" w:before="40"/>
      </w:pPr>
      <w:r>
        <w:rPr>
          <w:rFonts w:ascii="Arial" w:cs="Arial" w:eastAsia="Arial" w:hAnsi="Arial"/>
          <w:color w:val="111827"/>
          <w:sz w:val="19"/>
          <w:szCs w:val="19"/>
        </w:rPr>
        <w:t xml:space="preserve">Objections raised during sales process — logged if lightweight CRM built for own pipeline</w:t>
      </w:r>
    </w:p>
    <w:p>
      <w:pPr>
        <w:pStyle w:val="ListParagraph"/>
        <w:numPr>
          <w:ilvl w:val="0"/>
          <w:numId w:val="2"/>
        </w:numPr>
        <w:spacing w:after="40" w:before="40"/>
      </w:pPr>
      <w:r>
        <w:rPr>
          <w:rFonts w:ascii="Arial" w:cs="Arial" w:eastAsia="Arial" w:hAnsi="Arial"/>
          <w:color w:val="111827"/>
          <w:sz w:val="19"/>
          <w:szCs w:val="19"/>
        </w:rPr>
        <w:t xml:space="preserve">Win and loss tracking — prospect outcome and reason if capturable</w:t>
      </w:r>
    </w:p>
    <w:p>
      <w:pPr>
        <w:pStyle w:val="ListParagraph"/>
        <w:numPr>
          <w:ilvl w:val="0"/>
          <w:numId w:val="2"/>
        </w:numPr>
        <w:spacing w:after="40" w:before="40"/>
      </w:pPr>
      <w:r>
        <w:rPr>
          <w:rFonts w:ascii="Arial" w:cs="Arial" w:eastAsia="Arial" w:hAnsi="Arial"/>
          <w:color w:val="111827"/>
          <w:sz w:val="19"/>
          <w:szCs w:val="19"/>
        </w:rPr>
        <w:t xml:space="preserve">Price anchoring events — what prospect was paying for previous solution</w:t>
      </w:r>
    </w:p>
    <w:p>
      <w:pPr>
        <w:pStyle w:val="ListParagraph"/>
        <w:numPr>
          <w:ilvl w:val="0"/>
          <w:numId w:val="2"/>
        </w:numPr>
        <w:spacing w:after="40" w:before="40"/>
      </w:pPr>
      <w:r>
        <w:rPr>
          <w:rFonts w:ascii="Arial" w:cs="Arial" w:eastAsia="Arial" w:hAnsi="Arial"/>
          <w:color w:val="111827"/>
          <w:sz w:val="19"/>
          <w:szCs w:val="19"/>
        </w:rPr>
        <w:t xml:space="preserve">Trial or demo behavior — every action taken during any trial period</w:t>
      </w:r>
    </w:p>
    <w:p>
      <w:pPr>
        <w:pStyle w:val="Heading2"/>
        <w:spacing w:after="100" w:before="280"/>
      </w:pPr>
      <w:r>
        <w:rPr>
          <w:rFonts w:ascii="Arial" w:cs="Arial" w:eastAsia="Arial" w:hAnsi="Arial"/>
          <w:b/>
          <w:bCs/>
          <w:color w:val="1F3148"/>
          <w:sz w:val="22"/>
          <w:szCs w:val="22"/>
        </w:rPr>
        <w:t xml:space="preserve">Firm Client Acquisition Intelligence</w:t>
      </w:r>
    </w:p>
    <w:p>
      <w:pPr>
        <w:pStyle w:val="ListParagraph"/>
        <w:numPr>
          <w:ilvl w:val="0"/>
          <w:numId w:val="2"/>
        </w:numPr>
        <w:spacing w:after="40" w:before="40"/>
      </w:pPr>
      <w:r>
        <w:rPr>
          <w:rFonts w:ascii="Arial" w:cs="Arial" w:eastAsia="Arial" w:hAnsi="Arial"/>
          <w:color w:val="111827"/>
          <w:sz w:val="19"/>
          <w:szCs w:val="19"/>
        </w:rPr>
        <w:t xml:space="preserve">Referral source at client intake — structured dropdown, required field</w:t>
      </w:r>
    </w:p>
    <w:p>
      <w:pPr>
        <w:pStyle w:val="ListParagraph"/>
        <w:numPr>
          <w:ilvl w:val="0"/>
          <w:numId w:val="2"/>
        </w:numPr>
        <w:spacing w:after="40" w:before="40"/>
      </w:pPr>
      <w:r>
        <w:rPr>
          <w:rFonts w:ascii="Arial" w:cs="Arial" w:eastAsia="Arial" w:hAnsi="Arial"/>
          <w:color w:val="111827"/>
          <w:sz w:val="19"/>
          <w:szCs w:val="19"/>
        </w:rPr>
        <w:t xml:space="preserve">Referring client ID — linked to new client record for chain mapping</w:t>
      </w:r>
    </w:p>
    <w:p>
      <w:pPr>
        <w:pStyle w:val="ListParagraph"/>
        <w:numPr>
          <w:ilvl w:val="0"/>
          <w:numId w:val="2"/>
        </w:numPr>
        <w:spacing w:after="40" w:before="40"/>
      </w:pPr>
      <w:r>
        <w:rPr>
          <w:rFonts w:ascii="Arial" w:cs="Arial" w:eastAsia="Arial" w:hAnsi="Arial"/>
          <w:color w:val="111827"/>
          <w:sz w:val="19"/>
          <w:szCs w:val="19"/>
        </w:rPr>
        <w:t xml:space="preserve">Referral chain depth — how many degrees deep referral network goes</w:t>
      </w:r>
    </w:p>
    <w:p>
      <w:pPr>
        <w:pStyle w:val="ListParagraph"/>
        <w:numPr>
          <w:ilvl w:val="0"/>
          <w:numId w:val="2"/>
        </w:numPr>
        <w:spacing w:after="40" w:before="40"/>
      </w:pPr>
      <w:r>
        <w:rPr>
          <w:rFonts w:ascii="Arial" w:cs="Arial" w:eastAsia="Arial" w:hAnsi="Arial"/>
          <w:color w:val="111827"/>
          <w:sz w:val="19"/>
          <w:szCs w:val="19"/>
        </w:rPr>
        <w:t xml:space="preserve">Referral source profitability — margin and retention correlated to source</w:t>
      </w:r>
    </w:p>
    <w:p>
      <w:pPr>
        <w:pStyle w:val="ListParagraph"/>
        <w:numPr>
          <w:ilvl w:val="0"/>
          <w:numId w:val="2"/>
        </w:numPr>
        <w:spacing w:after="40" w:before="40"/>
      </w:pPr>
      <w:r>
        <w:rPr>
          <w:rFonts w:ascii="Arial" w:cs="Arial" w:eastAsia="Arial" w:hAnsi="Arial"/>
          <w:color w:val="111827"/>
          <w:sz w:val="19"/>
          <w:szCs w:val="19"/>
        </w:rPr>
        <w:t xml:space="preserve">Onboarding call completion — whether firm completed onboarding call with new client and timing</w:t>
      </w:r>
    </w:p>
    <w:p>
      <w:pPr>
        <w:pStyle w:val="ListParagraph"/>
        <w:numPr>
          <w:ilvl w:val="0"/>
          <w:numId w:val="2"/>
        </w:numPr>
        <w:spacing w:after="40" w:before="40"/>
      </w:pPr>
      <w:r>
        <w:rPr>
          <w:rFonts w:ascii="Arial" w:cs="Arial" w:eastAsia="Arial" w:hAnsi="Arial"/>
          <w:color w:val="111827"/>
          <w:sz w:val="19"/>
          <w:szCs w:val="19"/>
        </w:rPr>
        <w:t xml:space="preserve">Time from prospect to active client — conversion timeline at firm level</w:t>
      </w:r>
    </w:p>
    <w:p>
      <w:pPr>
        <w:pStyle w:val="ListParagraph"/>
        <w:numPr>
          <w:ilvl w:val="0"/>
          <w:numId w:val="2"/>
        </w:numPr>
        <w:spacing w:after="40" w:before="40"/>
      </w:pPr>
      <w:r>
        <w:rPr>
          <w:rFonts w:ascii="Arial" w:cs="Arial" w:eastAsia="Arial" w:hAnsi="Arial"/>
          <w:color w:val="111827"/>
          <w:sz w:val="19"/>
          <w:szCs w:val="19"/>
        </w:rPr>
        <w:t xml:space="preserve">Cross-firm referral connections — if two firms share referral relationship, network node</w:t>
      </w:r>
    </w:p>
    <w:p>
      <w:pPr>
        <w:pStyle w:val="Heading2"/>
        <w:spacing w:after="100" w:before="280"/>
      </w:pPr>
      <w:r>
        <w:rPr>
          <w:rFonts w:ascii="Arial" w:cs="Arial" w:eastAsia="Arial" w:hAnsi="Arial"/>
          <w:b/>
          <w:bCs/>
          <w:color w:val="1F3148"/>
          <w:sz w:val="22"/>
          <w:szCs w:val="22"/>
        </w:rPr>
        <w:t xml:space="preserve">Market Intelligence</w:t>
      </w:r>
    </w:p>
    <w:p>
      <w:pPr>
        <w:pStyle w:val="ListParagraph"/>
        <w:numPr>
          <w:ilvl w:val="0"/>
          <w:numId w:val="2"/>
        </w:numPr>
        <w:spacing w:after="40" w:before="40"/>
      </w:pPr>
      <w:r>
        <w:rPr>
          <w:rFonts w:ascii="Arial" w:cs="Arial" w:eastAsia="Arial" w:hAnsi="Arial"/>
          <w:color w:val="111827"/>
          <w:sz w:val="19"/>
          <w:szCs w:val="19"/>
        </w:rPr>
        <w:t xml:space="preserve">Market segment penetration — geographic markets, firm size bands, service mix profiles represented in network</w:t>
      </w:r>
    </w:p>
    <w:p>
      <w:pPr>
        <w:pStyle w:val="ListParagraph"/>
        <w:numPr>
          <w:ilvl w:val="0"/>
          <w:numId w:val="2"/>
        </w:numPr>
        <w:spacing w:after="40" w:before="40"/>
      </w:pPr>
      <w:r>
        <w:rPr>
          <w:rFonts w:ascii="Arial" w:cs="Arial" w:eastAsia="Arial" w:hAnsi="Arial"/>
          <w:color w:val="111827"/>
          <w:sz w:val="19"/>
          <w:szCs w:val="19"/>
        </w:rPr>
        <w:t xml:space="preserve">Industry event correlation with signup spikes — when does acquisition accelerate and why</w:t>
      </w:r>
    </w:p>
    <w:p>
      <w:pPr>
        <w:pStyle w:val="ListParagraph"/>
        <w:numPr>
          <w:ilvl w:val="0"/>
          <w:numId w:val="2"/>
        </w:numPr>
        <w:spacing w:after="40" w:before="40"/>
      </w:pPr>
      <w:r>
        <w:rPr>
          <w:rFonts w:ascii="Arial" w:cs="Arial" w:eastAsia="Arial" w:hAnsi="Arial"/>
          <w:color w:val="111827"/>
          <w:sz w:val="19"/>
          <w:szCs w:val="19"/>
        </w:rPr>
        <w:t xml:space="preserve">Viral coefficient signals — referral tracking if built into product</w:t>
      </w:r>
    </w:p>
    <w:p>
      <w:pPr>
        <w:pStyle w:val="ListParagraph"/>
        <w:numPr>
          <w:ilvl w:val="0"/>
          <w:numId w:val="2"/>
        </w:numPr>
        <w:spacing w:after="40" w:before="40"/>
      </w:pPr>
      <w:r>
        <w:rPr>
          <w:rFonts w:ascii="Arial" w:cs="Arial" w:eastAsia="Arial" w:hAnsi="Arial"/>
          <w:color w:val="111827"/>
          <w:sz w:val="19"/>
          <w:szCs w:val="19"/>
        </w:rPr>
        <w:t xml:space="preserve">Network density by geography — firm clustering patterns as platform grows</w:t>
      </w:r>
    </w:p>
    <w:p>
      <w:pPr>
        <w:pStyle w:val="ListParagraph"/>
        <w:numPr>
          <w:ilvl w:val="0"/>
          <w:numId w:val="2"/>
        </w:numPr>
        <w:spacing w:after="40" w:before="40"/>
      </w:pPr>
      <w:r>
        <w:rPr>
          <w:rFonts w:ascii="Arial" w:cs="Arial" w:eastAsia="Arial" w:hAnsi="Arial"/>
          <w:color w:val="111827"/>
          <w:sz w:val="19"/>
          <w:szCs w:val="19"/>
        </w:rPr>
        <w:t xml:space="preserve">Association and community membership — which professional associations and peer groups, self-reported at intake</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11 — Competitive Intelligence Domain</w:t>
      </w:r>
    </w:p>
    <w:p>
      <w:pPr>
        <w:spacing w:after="160" w:before="80"/>
      </w:pPr>
      <w:r>
        <w:rPr>
          <w:rFonts w:ascii="Arial" w:cs="Arial" w:eastAsia="Arial" w:hAnsi="Arial"/>
          <w:i/>
          <w:iCs/>
          <w:color w:val="6B7280"/>
          <w:sz w:val="20"/>
          <w:szCs w:val="20"/>
        </w:rPr>
        <w:t xml:space="preserve">Signals about what firms are displacing and how JAMM PX is positioned relative to alternatives.</w:t>
      </w:r>
    </w:p>
    <w:p>
      <w:pPr>
        <w:pStyle w:val="Heading2"/>
        <w:spacing w:after="100" w:before="280"/>
      </w:pPr>
      <w:r>
        <w:rPr>
          <w:rFonts w:ascii="Arial" w:cs="Arial" w:eastAsia="Arial" w:hAnsi="Arial"/>
          <w:b/>
          <w:bCs/>
          <w:color w:val="1F3148"/>
          <w:sz w:val="22"/>
          <w:szCs w:val="22"/>
        </w:rPr>
        <w:t xml:space="preserve">Displacement Events</w:t>
      </w:r>
    </w:p>
    <w:p>
      <w:pPr>
        <w:pStyle w:val="ListParagraph"/>
        <w:numPr>
          <w:ilvl w:val="0"/>
          <w:numId w:val="2"/>
        </w:numPr>
        <w:spacing w:after="40" w:before="40"/>
      </w:pPr>
      <w:r>
        <w:rPr>
          <w:rFonts w:ascii="Arial" w:cs="Arial" w:eastAsia="Arial" w:hAnsi="Arial"/>
          <w:color w:val="111827"/>
          <w:sz w:val="19"/>
          <w:szCs w:val="19"/>
        </w:rPr>
        <w:t xml:space="preserve">Data import events — source format, record count, import success rate, validation errors</w:t>
      </w:r>
    </w:p>
    <w:p>
      <w:pPr>
        <w:pStyle w:val="ListParagraph"/>
        <w:numPr>
          <w:ilvl w:val="0"/>
          <w:numId w:val="2"/>
        </w:numPr>
        <w:spacing w:after="40" w:before="40"/>
      </w:pPr>
      <w:r>
        <w:rPr>
          <w:rFonts w:ascii="Arial" w:cs="Arial" w:eastAsia="Arial" w:hAnsi="Arial"/>
          <w:color w:val="111827"/>
          <w:sz w:val="19"/>
          <w:szCs w:val="19"/>
        </w:rPr>
        <w:t xml:space="preserve">Data export events — timing and frequency, potential churn signal if unusual</w:t>
      </w:r>
    </w:p>
    <w:p>
      <w:pPr>
        <w:pStyle w:val="ListParagraph"/>
        <w:numPr>
          <w:ilvl w:val="0"/>
          <w:numId w:val="2"/>
        </w:numPr>
        <w:spacing w:after="40" w:before="40"/>
      </w:pPr>
      <w:r>
        <w:rPr>
          <w:rFonts w:ascii="Arial" w:cs="Arial" w:eastAsia="Arial" w:hAnsi="Arial"/>
          <w:color w:val="111827"/>
          <w:sz w:val="19"/>
          <w:szCs w:val="19"/>
        </w:rPr>
        <w:t xml:space="preserve">Integration connected — which third party, when, relative to firm creation date</w:t>
      </w:r>
    </w:p>
    <w:p>
      <w:pPr>
        <w:pStyle w:val="ListParagraph"/>
        <w:numPr>
          <w:ilvl w:val="0"/>
          <w:numId w:val="2"/>
        </w:numPr>
        <w:spacing w:after="40" w:before="40"/>
      </w:pPr>
      <w:r>
        <w:rPr>
          <w:rFonts w:ascii="Arial" w:cs="Arial" w:eastAsia="Arial" w:hAnsi="Arial"/>
          <w:color w:val="111827"/>
          <w:sz w:val="19"/>
          <w:szCs w:val="19"/>
        </w:rPr>
        <w:t xml:space="preserve">Integration disconnected — which tool, how long connected, potential displacement signal</w:t>
      </w:r>
    </w:p>
    <w:p>
      <w:pPr>
        <w:pStyle w:val="ListParagraph"/>
        <w:numPr>
          <w:ilvl w:val="0"/>
          <w:numId w:val="2"/>
        </w:numPr>
        <w:spacing w:after="40" w:before="40"/>
      </w:pPr>
      <w:r>
        <w:rPr>
          <w:rFonts w:ascii="Arial" w:cs="Arial" w:eastAsia="Arial" w:hAnsi="Arial"/>
          <w:color w:val="111827"/>
          <w:sz w:val="19"/>
          <w:szCs w:val="19"/>
        </w:rPr>
        <w:t xml:space="preserve">Passive displacement signals — QBO disconnection, import format matching known competitor export formats</w:t>
      </w:r>
    </w:p>
    <w:p>
      <w:pPr>
        <w:pStyle w:val="ListParagraph"/>
        <w:numPr>
          <w:ilvl w:val="0"/>
          <w:numId w:val="2"/>
        </w:numPr>
        <w:spacing w:after="40" w:before="40"/>
      </w:pPr>
      <w:r>
        <w:rPr>
          <w:rFonts w:ascii="Arial" w:cs="Arial" w:eastAsia="Arial" w:hAnsi="Arial"/>
          <w:color w:val="111827"/>
          <w:sz w:val="19"/>
          <w:szCs w:val="19"/>
        </w:rPr>
        <w:t xml:space="preserve">Stack displacement self-reported — async prompt responses about tools cancelled, tools still running alongside JAMM PX</w:t>
      </w:r>
    </w:p>
    <w:p>
      <w:pPr>
        <w:pStyle w:val="Heading2"/>
        <w:spacing w:after="100" w:before="280"/>
      </w:pPr>
      <w:r>
        <w:rPr>
          <w:rFonts w:ascii="Arial" w:cs="Arial" w:eastAsia="Arial" w:hAnsi="Arial"/>
          <w:b/>
          <w:bCs/>
          <w:color w:val="1F3148"/>
          <w:sz w:val="22"/>
          <w:szCs w:val="22"/>
        </w:rPr>
        <w:t xml:space="preserve">Competitive Positioning Intelligence</w:t>
      </w:r>
    </w:p>
    <w:p>
      <w:pPr>
        <w:pStyle w:val="ListParagraph"/>
        <w:numPr>
          <w:ilvl w:val="0"/>
          <w:numId w:val="2"/>
        </w:numPr>
        <w:spacing w:after="40" w:before="40"/>
      </w:pPr>
      <w:r>
        <w:rPr>
          <w:rFonts w:ascii="Arial" w:cs="Arial" w:eastAsia="Arial" w:hAnsi="Arial"/>
          <w:color w:val="111827"/>
          <w:sz w:val="19"/>
          <w:szCs w:val="19"/>
        </w:rPr>
        <w:t xml:space="preserve">Feature requests with competitor attribution — requests where firm mentions previous tool had this</w:t>
      </w:r>
    </w:p>
    <w:p>
      <w:pPr>
        <w:pStyle w:val="ListParagraph"/>
        <w:numPr>
          <w:ilvl w:val="0"/>
          <w:numId w:val="2"/>
        </w:numPr>
        <w:spacing w:after="40" w:before="40"/>
      </w:pPr>
      <w:r>
        <w:rPr>
          <w:rFonts w:ascii="Arial" w:cs="Arial" w:eastAsia="Arial" w:hAnsi="Arial"/>
          <w:color w:val="111827"/>
          <w:sz w:val="19"/>
          <w:szCs w:val="19"/>
        </w:rPr>
        <w:t xml:space="preserve">Competitor mentions in any feedback or messaging — which competitor, context, sentiment</w:t>
      </w:r>
    </w:p>
    <w:p>
      <w:pPr>
        <w:pStyle w:val="ListParagraph"/>
        <w:numPr>
          <w:ilvl w:val="0"/>
          <w:numId w:val="2"/>
        </w:numPr>
        <w:spacing w:after="40" w:before="40"/>
      </w:pPr>
      <w:r>
        <w:rPr>
          <w:rFonts w:ascii="Arial" w:cs="Arial" w:eastAsia="Arial" w:hAnsi="Arial"/>
          <w:color w:val="111827"/>
          <w:sz w:val="19"/>
          <w:szCs w:val="19"/>
        </w:rPr>
        <w:t xml:space="preserve">Feature usage depth scoring per engagement — how many features used in a single engagement workflow</w:t>
      </w:r>
    </w:p>
    <w:p>
      <w:pPr>
        <w:pStyle w:val="ListParagraph"/>
        <w:numPr>
          <w:ilvl w:val="0"/>
          <w:numId w:val="2"/>
        </w:numPr>
        <w:spacing w:after="40" w:before="40"/>
      </w:pPr>
      <w:r>
        <w:rPr>
          <w:rFonts w:ascii="Arial" w:cs="Arial" w:eastAsia="Arial" w:hAnsi="Arial"/>
          <w:color w:val="111827"/>
          <w:sz w:val="19"/>
          <w:szCs w:val="19"/>
        </w:rPr>
        <w:t xml:space="preserve">Workflow completion rate — full workflow versus partial use as proxy for displacement depth</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12 — Physical World and Context Domain</w:t>
      </w:r>
    </w:p>
    <w:p>
      <w:pPr>
        <w:spacing w:after="160" w:before="80"/>
      </w:pPr>
      <w:r>
        <w:rPr>
          <w:rFonts w:ascii="Arial" w:cs="Arial" w:eastAsia="Arial" w:hAnsi="Arial"/>
          <w:i/>
          <w:iCs/>
          <w:color w:val="6B7280"/>
          <w:sz w:val="20"/>
          <w:szCs w:val="20"/>
        </w:rPr>
        <w:t xml:space="preserve">Data points that contextualize behavioral signals by capturing what happens outside the product.</w:t>
      </w:r>
    </w:p>
    <w:p>
      <w:pPr>
        <w:pStyle w:val="Heading2"/>
        <w:spacing w:after="100" w:before="280"/>
      </w:pPr>
      <w:r>
        <w:rPr>
          <w:rFonts w:ascii="Arial" w:cs="Arial" w:eastAsia="Arial" w:hAnsi="Arial"/>
          <w:b/>
          <w:bCs/>
          <w:color w:val="1F3148"/>
          <w:sz w:val="22"/>
          <w:szCs w:val="22"/>
        </w:rPr>
        <w:t xml:space="preserve">Office and Environment Context</w:t>
      </w:r>
    </w:p>
    <w:p>
      <w:pPr>
        <w:pStyle w:val="ListParagraph"/>
        <w:numPr>
          <w:ilvl w:val="0"/>
          <w:numId w:val="2"/>
        </w:numPr>
        <w:spacing w:after="40" w:before="40"/>
      </w:pPr>
      <w:r>
        <w:rPr>
          <w:rFonts w:ascii="Arial" w:cs="Arial" w:eastAsia="Arial" w:hAnsi="Arial"/>
          <w:color w:val="111827"/>
          <w:sz w:val="19"/>
          <w:szCs w:val="19"/>
        </w:rPr>
        <w:t xml:space="preserve">Office configuration — single location versus multi-location, remote versus hybrid versus in-person, self-reported at setup</w:t>
      </w:r>
    </w:p>
    <w:p>
      <w:pPr>
        <w:pStyle w:val="ListParagraph"/>
        <w:numPr>
          <w:ilvl w:val="0"/>
          <w:numId w:val="2"/>
        </w:numPr>
        <w:spacing w:after="40" w:before="40"/>
      </w:pPr>
      <w:r>
        <w:rPr>
          <w:rFonts w:ascii="Arial" w:cs="Arial" w:eastAsia="Arial" w:hAnsi="Arial"/>
          <w:color w:val="111827"/>
          <w:sz w:val="19"/>
          <w:szCs w:val="19"/>
        </w:rPr>
        <w:t xml:space="preserve">Seasonal staff versus permanent staff distinction — start and end dates for seasonal accounts</w:t>
      </w:r>
    </w:p>
    <w:p>
      <w:pPr>
        <w:pStyle w:val="ListParagraph"/>
        <w:numPr>
          <w:ilvl w:val="0"/>
          <w:numId w:val="2"/>
        </w:numPr>
        <w:spacing w:after="40" w:before="40"/>
      </w:pPr>
      <w:r>
        <w:rPr>
          <w:rFonts w:ascii="Arial" w:cs="Arial" w:eastAsia="Arial" w:hAnsi="Arial"/>
          <w:color w:val="111827"/>
          <w:sz w:val="19"/>
          <w:szCs w:val="19"/>
        </w:rPr>
        <w:t xml:space="preserve">Firm location at zip code precision — required for geographic clustering and external event correlation</w:t>
      </w:r>
    </w:p>
    <w:p>
      <w:pPr>
        <w:pStyle w:val="ListParagraph"/>
        <w:numPr>
          <w:ilvl w:val="0"/>
          <w:numId w:val="2"/>
        </w:numPr>
        <w:spacing w:after="40" w:before="40"/>
      </w:pPr>
      <w:r>
        <w:rPr>
          <w:rFonts w:ascii="Arial" w:cs="Arial" w:eastAsia="Arial" w:hAnsi="Arial"/>
          <w:color w:val="111827"/>
          <w:sz w:val="19"/>
          <w:szCs w:val="19"/>
        </w:rPr>
        <w:t xml:space="preserve">Operating hours pattern — when firm actually operates, self-reported, contextualizes time-of-day data</w:t>
      </w:r>
    </w:p>
    <w:p>
      <w:pPr>
        <w:pStyle w:val="Heading2"/>
        <w:spacing w:after="100" w:before="280"/>
      </w:pPr>
      <w:r>
        <w:rPr>
          <w:rFonts w:ascii="Arial" w:cs="Arial" w:eastAsia="Arial" w:hAnsi="Arial"/>
          <w:b/>
          <w:bCs/>
          <w:color w:val="1F3148"/>
          <w:sz w:val="22"/>
          <w:szCs w:val="22"/>
        </w:rPr>
        <w:t xml:space="preserve">Physical Workflow Events</w:t>
      </w:r>
    </w:p>
    <w:p>
      <w:pPr>
        <w:pStyle w:val="ListParagraph"/>
        <w:numPr>
          <w:ilvl w:val="0"/>
          <w:numId w:val="2"/>
        </w:numPr>
        <w:spacing w:after="40" w:before="40"/>
      </w:pPr>
      <w:r>
        <w:rPr>
          <w:rFonts w:ascii="Arial" w:cs="Arial" w:eastAsia="Arial" w:hAnsi="Arial"/>
          <w:color w:val="111827"/>
          <w:sz w:val="19"/>
          <w:szCs w:val="19"/>
        </w:rPr>
        <w:t xml:space="preserve">Phone call log — if built, call made or received, duration, outcome, linked client and engagement</w:t>
      </w:r>
    </w:p>
    <w:p>
      <w:pPr>
        <w:pStyle w:val="ListParagraph"/>
        <w:numPr>
          <w:ilvl w:val="0"/>
          <w:numId w:val="2"/>
        </w:numPr>
        <w:spacing w:after="40" w:before="40"/>
      </w:pPr>
      <w:r>
        <w:rPr>
          <w:rFonts w:ascii="Arial" w:cs="Arial" w:eastAsia="Arial" w:hAnsi="Arial"/>
          <w:color w:val="111827"/>
          <w:sz w:val="19"/>
          <w:szCs w:val="19"/>
        </w:rPr>
        <w:t xml:space="preserve">Email outside portal — if integration built, fact of contact with known client address, timestamp, no content</w:t>
      </w:r>
    </w:p>
    <w:p>
      <w:pPr>
        <w:pStyle w:val="ListParagraph"/>
        <w:numPr>
          <w:ilvl w:val="0"/>
          <w:numId w:val="2"/>
        </w:numPr>
        <w:spacing w:after="40" w:before="40"/>
      </w:pPr>
      <w:r>
        <w:rPr>
          <w:rFonts w:ascii="Arial" w:cs="Arial" w:eastAsia="Arial" w:hAnsi="Arial"/>
          <w:color w:val="111827"/>
          <w:sz w:val="19"/>
          <w:szCs w:val="19"/>
        </w:rPr>
        <w:t xml:space="preserve">Meeting log — client meeting scheduled and completed, duration, linked engagement</w:t>
      </w:r>
    </w:p>
    <w:p>
      <w:pPr>
        <w:pStyle w:val="ListParagraph"/>
        <w:numPr>
          <w:ilvl w:val="0"/>
          <w:numId w:val="2"/>
        </w:numPr>
        <w:spacing w:after="40" w:before="40"/>
      </w:pPr>
      <w:r>
        <w:rPr>
          <w:rFonts w:ascii="Arial" w:cs="Arial" w:eastAsia="Arial" w:hAnsi="Arial"/>
          <w:color w:val="111827"/>
          <w:sz w:val="19"/>
          <w:szCs w:val="19"/>
        </w:rPr>
        <w:t xml:space="preserve">Physical mail received — item type, client linked, scanned yes or no, returned to client yes or no</w:t>
      </w:r>
    </w:p>
    <w:p>
      <w:pPr>
        <w:pStyle w:val="ListParagraph"/>
        <w:numPr>
          <w:ilvl w:val="0"/>
          <w:numId w:val="2"/>
        </w:numPr>
        <w:spacing w:after="40" w:before="40"/>
      </w:pPr>
      <w:r>
        <w:rPr>
          <w:rFonts w:ascii="Arial" w:cs="Arial" w:eastAsia="Arial" w:hAnsi="Arial"/>
          <w:color w:val="111827"/>
          <w:sz w:val="19"/>
          <w:szCs w:val="19"/>
        </w:rPr>
        <w:t xml:space="preserve">Notarization required and completed — delay caused, linked engagement</w:t>
      </w:r>
    </w:p>
    <w:p>
      <w:pPr>
        <w:pStyle w:val="Heading2"/>
        <w:spacing w:after="100" w:before="280"/>
      </w:pPr>
      <w:r>
        <w:rPr>
          <w:rFonts w:ascii="Arial" w:cs="Arial" w:eastAsia="Arial" w:hAnsi="Arial"/>
          <w:b/>
          <w:bCs/>
          <w:color w:val="1F3148"/>
          <w:sz w:val="22"/>
          <w:szCs w:val="22"/>
        </w:rPr>
        <w:t xml:space="preserve">External Event Correlation</w:t>
      </w:r>
    </w:p>
    <w:p>
      <w:pPr>
        <w:pStyle w:val="ListParagraph"/>
        <w:numPr>
          <w:ilvl w:val="0"/>
          <w:numId w:val="2"/>
        </w:numPr>
        <w:spacing w:after="40" w:before="40"/>
      </w:pPr>
      <w:r>
        <w:rPr>
          <w:rFonts w:ascii="Arial" w:cs="Arial" w:eastAsia="Arial" w:hAnsi="Arial"/>
          <w:color w:val="111827"/>
          <w:sz w:val="19"/>
          <w:szCs w:val="19"/>
        </w:rPr>
        <w:t xml:space="preserve">Tax law change events — major legislation passing correlated with changes in engagement mix</w:t>
      </w:r>
    </w:p>
    <w:p>
      <w:pPr>
        <w:pStyle w:val="ListParagraph"/>
        <w:numPr>
          <w:ilvl w:val="0"/>
          <w:numId w:val="2"/>
        </w:numPr>
        <w:spacing w:after="40" w:before="40"/>
      </w:pPr>
      <w:r>
        <w:rPr>
          <w:rFonts w:ascii="Arial" w:cs="Arial" w:eastAsia="Arial" w:hAnsi="Arial"/>
          <w:color w:val="111827"/>
          <w:sz w:val="19"/>
          <w:szCs w:val="19"/>
        </w:rPr>
        <w:t xml:space="preserve">IRS processing delay periods — announced delays correlated with client communication volume</w:t>
      </w:r>
    </w:p>
    <w:p>
      <w:pPr>
        <w:pStyle w:val="ListParagraph"/>
        <w:numPr>
          <w:ilvl w:val="0"/>
          <w:numId w:val="2"/>
        </w:numPr>
        <w:spacing w:after="40" w:before="40"/>
      </w:pPr>
      <w:r>
        <w:rPr>
          <w:rFonts w:ascii="Arial" w:cs="Arial" w:eastAsia="Arial" w:hAnsi="Arial"/>
          <w:color w:val="111827"/>
          <w:sz w:val="19"/>
          <w:szCs w:val="19"/>
        </w:rPr>
        <w:t xml:space="preserve">Economic event markers — market corrections and economic disruptions correlated with engagement complexity</w:t>
      </w:r>
    </w:p>
    <w:p>
      <w:pPr>
        <w:pStyle w:val="ListParagraph"/>
        <w:numPr>
          <w:ilvl w:val="0"/>
          <w:numId w:val="2"/>
        </w:numPr>
        <w:spacing w:after="40" w:before="40"/>
      </w:pPr>
      <w:r>
        <w:rPr>
          <w:rFonts w:ascii="Arial" w:cs="Arial" w:eastAsia="Arial" w:hAnsi="Arial"/>
          <w:color w:val="111827"/>
          <w:sz w:val="19"/>
          <w:szCs w:val="19"/>
        </w:rPr>
        <w:t xml:space="preserve">Local disaster and relief events — FEMA declarations in firm geographic area, deadline extension implications</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13 — Trust, Security, and Compliance Domain</w:t>
      </w:r>
    </w:p>
    <w:p>
      <w:pPr>
        <w:spacing w:after="160" w:before="80"/>
      </w:pPr>
      <w:r>
        <w:rPr>
          <w:rFonts w:ascii="Arial" w:cs="Arial" w:eastAsia="Arial" w:hAnsi="Arial"/>
          <w:i/>
          <w:iCs/>
          <w:color w:val="6B7280"/>
          <w:sz w:val="20"/>
          <w:szCs w:val="20"/>
        </w:rPr>
        <w:t xml:space="preserve">Every security-relevant event and data access audit trail. IRS Publication 4557 compliance as a design principle throughout.</w:t>
      </w:r>
    </w:p>
    <w:p>
      <w:pPr>
        <w:pStyle w:val="Heading2"/>
        <w:spacing w:after="100" w:before="280"/>
      </w:pPr>
      <w:r>
        <w:rPr>
          <w:rFonts w:ascii="Arial" w:cs="Arial" w:eastAsia="Arial" w:hAnsi="Arial"/>
          <w:b/>
          <w:bCs/>
          <w:color w:val="1F3148"/>
          <w:sz w:val="22"/>
          <w:szCs w:val="22"/>
        </w:rPr>
        <w:t xml:space="preserve">Security Events</w:t>
      </w:r>
    </w:p>
    <w:p>
      <w:pPr>
        <w:pStyle w:val="ListParagraph"/>
        <w:numPr>
          <w:ilvl w:val="0"/>
          <w:numId w:val="2"/>
        </w:numPr>
        <w:spacing w:after="40" w:before="40"/>
      </w:pPr>
      <w:r>
        <w:rPr>
          <w:rFonts w:ascii="Arial" w:cs="Arial" w:eastAsia="Arial" w:hAnsi="Arial"/>
          <w:color w:val="111827"/>
          <w:sz w:val="19"/>
          <w:szCs w:val="19"/>
        </w:rPr>
        <w:t xml:space="preserve">Data access audit — every time sensitive client data accessed, downloaded, or exported</w:t>
      </w:r>
    </w:p>
    <w:p>
      <w:pPr>
        <w:pStyle w:val="ListParagraph"/>
        <w:numPr>
          <w:ilvl w:val="0"/>
          <w:numId w:val="2"/>
        </w:numPr>
        <w:spacing w:after="40" w:before="40"/>
      </w:pPr>
      <w:r>
        <w:rPr>
          <w:rFonts w:ascii="Arial" w:cs="Arial" w:eastAsia="Arial" w:hAnsi="Arial"/>
          <w:color w:val="111827"/>
          <w:sz w:val="19"/>
          <w:szCs w:val="19"/>
        </w:rPr>
        <w:t xml:space="preserve">Permission change events — staff role or access level changed, who made it, what changed</w:t>
      </w:r>
    </w:p>
    <w:p>
      <w:pPr>
        <w:pStyle w:val="ListParagraph"/>
        <w:numPr>
          <w:ilvl w:val="0"/>
          <w:numId w:val="2"/>
        </w:numPr>
        <w:spacing w:after="40" w:before="40"/>
      </w:pPr>
      <w:r>
        <w:rPr>
          <w:rFonts w:ascii="Arial" w:cs="Arial" w:eastAsia="Arial" w:hAnsi="Arial"/>
          <w:color w:val="111827"/>
          <w:sz w:val="19"/>
          <w:szCs w:val="19"/>
        </w:rPr>
        <w:t xml:space="preserve">Failed authentication attempts — reason if detectable, frequency pattern</w:t>
      </w:r>
    </w:p>
    <w:p>
      <w:pPr>
        <w:pStyle w:val="ListParagraph"/>
        <w:numPr>
          <w:ilvl w:val="0"/>
          <w:numId w:val="2"/>
        </w:numPr>
        <w:spacing w:after="40" w:before="40"/>
      </w:pPr>
      <w:r>
        <w:rPr>
          <w:rFonts w:ascii="Arial" w:cs="Arial" w:eastAsia="Arial" w:hAnsi="Arial"/>
          <w:color w:val="111827"/>
          <w:sz w:val="19"/>
          <w:szCs w:val="19"/>
        </w:rPr>
        <w:t xml:space="preserve">Two factor authentication adoption — which firms enable 2FA and when relative to firm creation</w:t>
      </w:r>
    </w:p>
    <w:p>
      <w:pPr>
        <w:pStyle w:val="ListParagraph"/>
        <w:numPr>
          <w:ilvl w:val="0"/>
          <w:numId w:val="2"/>
        </w:numPr>
        <w:spacing w:after="40" w:before="40"/>
      </w:pPr>
      <w:r>
        <w:rPr>
          <w:rFonts w:ascii="Arial" w:cs="Arial" w:eastAsia="Arial" w:hAnsi="Arial"/>
          <w:color w:val="111827"/>
          <w:sz w:val="19"/>
          <w:szCs w:val="19"/>
        </w:rPr>
        <w:t xml:space="preserve">Client data sharing events — every external data share, compliance event and workflow signal</w:t>
      </w:r>
    </w:p>
    <w:p>
      <w:pPr>
        <w:pStyle w:val="ListParagraph"/>
        <w:numPr>
          <w:ilvl w:val="0"/>
          <w:numId w:val="2"/>
        </w:numPr>
        <w:spacing w:after="40" w:before="40"/>
      </w:pPr>
      <w:r>
        <w:rPr>
          <w:rFonts w:ascii="Arial" w:cs="Arial" w:eastAsia="Arial" w:hAnsi="Arial"/>
          <w:color w:val="111827"/>
          <w:sz w:val="19"/>
          <w:szCs w:val="19"/>
        </w:rPr>
        <w:t xml:space="preserve">Browser and device logging for staff — which devices access sensitive data, unusual access patterns</w:t>
      </w:r>
    </w:p>
    <w:p>
      <w:pPr>
        <w:pStyle w:val="ListParagraph"/>
        <w:numPr>
          <w:ilvl w:val="0"/>
          <w:numId w:val="2"/>
        </w:numPr>
        <w:spacing w:after="40" w:before="40"/>
      </w:pPr>
      <w:r>
        <w:rPr>
          <w:rFonts w:ascii="Arial" w:cs="Arial" w:eastAsia="Arial" w:hAnsi="Arial"/>
          <w:color w:val="111827"/>
          <w:sz w:val="19"/>
          <w:szCs w:val="19"/>
        </w:rPr>
        <w:t xml:space="preserve">API access patterns — endpoints called, by which integrations, at what frequency</w:t>
      </w:r>
    </w:p>
    <w:p>
      <w:pPr>
        <w:pStyle w:val="Heading2"/>
        <w:spacing w:after="100" w:before="280"/>
      </w:pPr>
      <w:r>
        <w:rPr>
          <w:rFonts w:ascii="Arial" w:cs="Arial" w:eastAsia="Arial" w:hAnsi="Arial"/>
          <w:b/>
          <w:bCs/>
          <w:color w:val="1F3148"/>
          <w:sz w:val="22"/>
          <w:szCs w:val="22"/>
        </w:rPr>
        <w:t xml:space="preserve">Integration Health</w:t>
      </w:r>
    </w:p>
    <w:p>
      <w:pPr>
        <w:pStyle w:val="ListParagraph"/>
        <w:numPr>
          <w:ilvl w:val="0"/>
          <w:numId w:val="2"/>
        </w:numPr>
        <w:spacing w:after="40" w:before="40"/>
      </w:pPr>
      <w:r>
        <w:rPr>
          <w:rFonts w:ascii="Arial" w:cs="Arial" w:eastAsia="Arial" w:hAnsi="Arial"/>
          <w:color w:val="111827"/>
          <w:sz w:val="19"/>
          <w:szCs w:val="19"/>
        </w:rPr>
        <w:t xml:space="preserve">Integration health monitoring — QBO sync last successful, Dropbox Sign webhook last received, Stripe Connect status, Postmark delivery rates</w:t>
      </w:r>
    </w:p>
    <w:p>
      <w:pPr>
        <w:pStyle w:val="ListParagraph"/>
        <w:numPr>
          <w:ilvl w:val="0"/>
          <w:numId w:val="2"/>
        </w:numPr>
        <w:spacing w:after="40" w:before="40"/>
      </w:pPr>
      <w:r>
        <w:rPr>
          <w:rFonts w:ascii="Arial" w:cs="Arial" w:eastAsia="Arial" w:hAnsi="Arial"/>
          <w:color w:val="111827"/>
          <w:sz w:val="19"/>
          <w:szCs w:val="19"/>
        </w:rPr>
        <w:t xml:space="preserve">Integration error events — failed sync, failed webhook, failed payment processing with error type</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14 — Product Experience and UX Domain</w:t>
      </w:r>
    </w:p>
    <w:p>
      <w:pPr>
        <w:spacing w:after="160" w:before="80"/>
      </w:pPr>
      <w:r>
        <w:rPr>
          <w:rFonts w:ascii="Arial" w:cs="Arial" w:eastAsia="Arial" w:hAnsi="Arial"/>
          <w:i/>
          <w:iCs/>
          <w:color w:val="6B7280"/>
          <w:sz w:val="20"/>
          <w:szCs w:val="20"/>
        </w:rPr>
        <w:t xml:space="preserve">Granular signals about how people actually interact with the interface, revealing friction invisible to standard analytics.</w:t>
      </w:r>
    </w:p>
    <w:p>
      <w:pPr>
        <w:pStyle w:val="Heading2"/>
        <w:spacing w:after="100" w:before="280"/>
      </w:pPr>
      <w:r>
        <w:rPr>
          <w:rFonts w:ascii="Arial" w:cs="Arial" w:eastAsia="Arial" w:hAnsi="Arial"/>
          <w:b/>
          <w:bCs/>
          <w:color w:val="1F3148"/>
          <w:sz w:val="22"/>
          <w:szCs w:val="22"/>
        </w:rPr>
        <w:t xml:space="preserve">Session and Navigation Behavior</w:t>
      </w:r>
    </w:p>
    <w:p>
      <w:pPr>
        <w:pStyle w:val="ListParagraph"/>
        <w:numPr>
          <w:ilvl w:val="0"/>
          <w:numId w:val="2"/>
        </w:numPr>
        <w:spacing w:after="40" w:before="40"/>
      </w:pPr>
      <w:r>
        <w:rPr>
          <w:rFonts w:ascii="Arial" w:cs="Arial" w:eastAsia="Arial" w:hAnsi="Arial"/>
          <w:color w:val="111827"/>
          <w:sz w:val="19"/>
          <w:szCs w:val="19"/>
        </w:rPr>
        <w:t xml:space="preserve">First session behavior — complete navigation path, first action taken, where stuck, session duration, last action before logout</w:t>
      </w:r>
    </w:p>
    <w:p>
      <w:pPr>
        <w:pStyle w:val="ListParagraph"/>
        <w:numPr>
          <w:ilvl w:val="0"/>
          <w:numId w:val="2"/>
        </w:numPr>
        <w:spacing w:after="40" w:before="40"/>
      </w:pPr>
      <w:r>
        <w:rPr>
          <w:rFonts w:ascii="Arial" w:cs="Arial" w:eastAsia="Arial" w:hAnsi="Arial"/>
          <w:color w:val="111827"/>
          <w:sz w:val="19"/>
          <w:szCs w:val="19"/>
        </w:rPr>
        <w:t xml:space="preserve">Session abandonment — user starts a flow and leaves without completing, where in flow abandoned</w:t>
      </w:r>
    </w:p>
    <w:p>
      <w:pPr>
        <w:pStyle w:val="ListParagraph"/>
        <w:numPr>
          <w:ilvl w:val="0"/>
          <w:numId w:val="2"/>
        </w:numPr>
        <w:spacing w:after="40" w:before="40"/>
      </w:pPr>
      <w:r>
        <w:rPr>
          <w:rFonts w:ascii="Arial" w:cs="Arial" w:eastAsia="Arial" w:hAnsi="Arial"/>
          <w:color w:val="111827"/>
          <w:sz w:val="19"/>
          <w:szCs w:val="19"/>
        </w:rPr>
        <w:t xml:space="preserve">Tab and window switching during sessions — when users leave JAMM PX mid-workflow and return</w:t>
      </w:r>
    </w:p>
    <w:p>
      <w:pPr>
        <w:pStyle w:val="ListParagraph"/>
        <w:numPr>
          <w:ilvl w:val="0"/>
          <w:numId w:val="2"/>
        </w:numPr>
        <w:spacing w:after="40" w:before="40"/>
      </w:pPr>
      <w:r>
        <w:rPr>
          <w:rFonts w:ascii="Arial" w:cs="Arial" w:eastAsia="Arial" w:hAnsi="Arial"/>
          <w:color w:val="111827"/>
          <w:sz w:val="19"/>
          <w:szCs w:val="19"/>
        </w:rPr>
        <w:t xml:space="preserve">Feature opened but not used — feature accessed, explored, then abandoned without action</w:t>
      </w:r>
    </w:p>
    <w:p>
      <w:pPr>
        <w:pStyle w:val="ListParagraph"/>
        <w:numPr>
          <w:ilvl w:val="0"/>
          <w:numId w:val="2"/>
        </w:numPr>
        <w:spacing w:after="40" w:before="40"/>
      </w:pPr>
      <w:r>
        <w:rPr>
          <w:rFonts w:ascii="Arial" w:cs="Arial" w:eastAsia="Arial" w:hAnsi="Arial"/>
          <w:color w:val="111827"/>
          <w:sz w:val="19"/>
          <w:szCs w:val="19"/>
        </w:rPr>
        <w:t xml:space="preserve">Print and PDF export — what gets printed or exported, proxy for digital trust gaps</w:t>
      </w:r>
    </w:p>
    <w:p>
      <w:pPr>
        <w:pStyle w:val="Heading2"/>
        <w:spacing w:after="100" w:before="280"/>
      </w:pPr>
      <w:r>
        <w:rPr>
          <w:rFonts w:ascii="Arial" w:cs="Arial" w:eastAsia="Arial" w:hAnsi="Arial"/>
          <w:b/>
          <w:bCs/>
          <w:color w:val="1F3148"/>
          <w:sz w:val="22"/>
          <w:szCs w:val="22"/>
        </w:rPr>
        <w:t xml:space="preserve">Input and Interaction Patterns</w:t>
      </w:r>
    </w:p>
    <w:p>
      <w:pPr>
        <w:pStyle w:val="ListParagraph"/>
        <w:numPr>
          <w:ilvl w:val="0"/>
          <w:numId w:val="2"/>
        </w:numPr>
        <w:spacing w:after="40" w:before="40"/>
      </w:pPr>
      <w:r>
        <w:rPr>
          <w:rFonts w:ascii="Arial" w:cs="Arial" w:eastAsia="Arial" w:hAnsi="Arial"/>
          <w:color w:val="111827"/>
          <w:sz w:val="19"/>
          <w:szCs w:val="19"/>
        </w:rPr>
        <w:t xml:space="preserve">Form field completion order — linear versus non-linear, reveals form logic mismatch with mental model</w:t>
      </w:r>
    </w:p>
    <w:p>
      <w:pPr>
        <w:pStyle w:val="ListParagraph"/>
        <w:numPr>
          <w:ilvl w:val="0"/>
          <w:numId w:val="2"/>
        </w:numPr>
        <w:spacing w:after="40" w:before="40"/>
      </w:pPr>
      <w:r>
        <w:rPr>
          <w:rFonts w:ascii="Arial" w:cs="Arial" w:eastAsia="Arial" w:hAnsi="Arial"/>
          <w:color w:val="111827"/>
          <w:sz w:val="19"/>
          <w:szCs w:val="19"/>
        </w:rPr>
        <w:t xml:space="preserve">Autocomplete and suggestion acceptance rate — which suggestions accepted versus overridden by context</w:t>
      </w:r>
    </w:p>
    <w:p>
      <w:pPr>
        <w:pStyle w:val="ListParagraph"/>
        <w:numPr>
          <w:ilvl w:val="0"/>
          <w:numId w:val="2"/>
        </w:numPr>
        <w:spacing w:after="40" w:before="40"/>
      </w:pPr>
      <w:r>
        <w:rPr>
          <w:rFonts w:ascii="Arial" w:cs="Arial" w:eastAsia="Arial" w:hAnsi="Arial"/>
          <w:color w:val="111827"/>
          <w:sz w:val="19"/>
          <w:szCs w:val="19"/>
        </w:rPr>
        <w:t xml:space="preserve">Undo and redo frequency — high frequency on specific actions signals accidental clicks or unclear confirmation flows</w:t>
      </w:r>
    </w:p>
    <w:p>
      <w:pPr>
        <w:pStyle w:val="ListParagraph"/>
        <w:numPr>
          <w:ilvl w:val="0"/>
          <w:numId w:val="2"/>
        </w:numPr>
        <w:spacing w:after="40" w:before="40"/>
      </w:pPr>
      <w:r>
        <w:rPr>
          <w:rFonts w:ascii="Arial" w:cs="Arial" w:eastAsia="Arial" w:hAnsi="Arial"/>
          <w:color w:val="111827"/>
          <w:sz w:val="19"/>
          <w:szCs w:val="19"/>
        </w:rPr>
        <w:t xml:space="preserve">Keyboard navigation and shortcut usage — power user signal and habit formation indicator</w:t>
      </w:r>
    </w:p>
    <w:p>
      <w:pPr>
        <w:pStyle w:val="ListParagraph"/>
        <w:numPr>
          <w:ilvl w:val="0"/>
          <w:numId w:val="2"/>
        </w:numPr>
        <w:spacing w:after="40" w:before="40"/>
      </w:pPr>
      <w:r>
        <w:rPr>
          <w:rFonts w:ascii="Arial" w:cs="Arial" w:eastAsia="Arial" w:hAnsi="Arial"/>
          <w:color w:val="111827"/>
          <w:sz w:val="19"/>
          <w:szCs w:val="19"/>
        </w:rPr>
        <w:t xml:space="preserve">Error message encounters — which validation or system errors hit, by whom, frequency across users</w:t>
      </w:r>
    </w:p>
    <w:p>
      <w:pPr>
        <w:pStyle w:val="Heading2"/>
        <w:spacing w:after="100" w:before="280"/>
      </w:pPr>
      <w:r>
        <w:rPr>
          <w:rFonts w:ascii="Arial" w:cs="Arial" w:eastAsia="Arial" w:hAnsi="Arial"/>
          <w:b/>
          <w:bCs/>
          <w:color w:val="1F3148"/>
          <w:sz w:val="22"/>
          <w:szCs w:val="22"/>
        </w:rPr>
        <w:t xml:space="preserve">Content Engagement</w:t>
      </w:r>
    </w:p>
    <w:p>
      <w:pPr>
        <w:pStyle w:val="ListParagraph"/>
        <w:numPr>
          <w:ilvl w:val="0"/>
          <w:numId w:val="2"/>
        </w:numPr>
        <w:spacing w:after="40" w:before="40"/>
      </w:pPr>
      <w:r>
        <w:rPr>
          <w:rFonts w:ascii="Arial" w:cs="Arial" w:eastAsia="Arial" w:hAnsi="Arial"/>
          <w:color w:val="111827"/>
          <w:sz w:val="19"/>
          <w:szCs w:val="19"/>
        </w:rPr>
        <w:t xml:space="preserve">Scroll depth on intelligence reports and briefings — what actually gets read versus generated</w:t>
      </w:r>
    </w:p>
    <w:p>
      <w:pPr>
        <w:pStyle w:val="ListParagraph"/>
        <w:numPr>
          <w:ilvl w:val="0"/>
          <w:numId w:val="2"/>
        </w:numPr>
        <w:spacing w:after="40" w:before="40"/>
      </w:pPr>
      <w:r>
        <w:rPr>
          <w:rFonts w:ascii="Arial" w:cs="Arial" w:eastAsia="Arial" w:hAnsi="Arial"/>
          <w:color w:val="111827"/>
          <w:sz w:val="19"/>
          <w:szCs w:val="19"/>
        </w:rPr>
        <w:t xml:space="preserve">Notification dismissal patterns — speed of dismissal as relevance and messaging quality signal</w:t>
      </w:r>
    </w:p>
    <w:p>
      <w:pPr>
        <w:pStyle w:val="ListParagraph"/>
        <w:numPr>
          <w:ilvl w:val="0"/>
          <w:numId w:val="2"/>
        </w:numPr>
        <w:spacing w:after="40" w:before="40"/>
      </w:pPr>
      <w:r>
        <w:rPr>
          <w:rFonts w:ascii="Arial" w:cs="Arial" w:eastAsia="Arial" w:hAnsi="Arial"/>
          <w:color w:val="111827"/>
          <w:sz w:val="19"/>
          <w:szCs w:val="19"/>
        </w:rPr>
        <w:t xml:space="preserve">Help documentation access — which articles accessed, in relation to which feature, whether action completed after</w:t>
      </w:r>
    </w:p>
    <w:p>
      <w:pPr>
        <w:pStyle w:val="ListParagraph"/>
        <w:numPr>
          <w:ilvl w:val="0"/>
          <w:numId w:val="2"/>
        </w:numPr>
        <w:spacing w:after="40" w:before="40"/>
      </w:pPr>
      <w:r>
        <w:rPr>
          <w:rFonts w:ascii="Arial" w:cs="Arial" w:eastAsia="Arial" w:hAnsi="Arial"/>
          <w:color w:val="111827"/>
          <w:sz w:val="19"/>
          <w:szCs w:val="19"/>
        </w:rPr>
        <w:t xml:space="preserve">Copy-paste behavior — what content gets copied out of JAMM PX into other tools</w:t>
      </w:r>
    </w:p>
    <w:p>
      <w:pPr>
        <w:pStyle w:val="Heading2"/>
        <w:spacing w:after="100" w:before="280"/>
      </w:pPr>
      <w:r>
        <w:rPr>
          <w:rFonts w:ascii="Arial" w:cs="Arial" w:eastAsia="Arial" w:hAnsi="Arial"/>
          <w:b/>
          <w:bCs/>
          <w:color w:val="1F3148"/>
          <w:sz w:val="22"/>
          <w:szCs w:val="22"/>
        </w:rPr>
        <w:t xml:space="preserve">Display and Preference Signals</w:t>
      </w:r>
    </w:p>
    <w:p>
      <w:pPr>
        <w:pStyle w:val="ListParagraph"/>
        <w:numPr>
          <w:ilvl w:val="0"/>
          <w:numId w:val="2"/>
        </w:numPr>
        <w:spacing w:after="40" w:before="40"/>
      </w:pPr>
      <w:r>
        <w:rPr>
          <w:rFonts w:ascii="Arial" w:cs="Arial" w:eastAsia="Arial" w:hAnsi="Arial"/>
          <w:color w:val="111827"/>
          <w:sz w:val="19"/>
          <w:szCs w:val="19"/>
        </w:rPr>
        <w:t xml:space="preserve">Dark mode versus light mode usage per user</w:t>
      </w:r>
    </w:p>
    <w:p>
      <w:pPr>
        <w:pStyle w:val="ListParagraph"/>
        <w:numPr>
          <w:ilvl w:val="0"/>
          <w:numId w:val="2"/>
        </w:numPr>
        <w:spacing w:after="40" w:before="40"/>
      </w:pPr>
      <w:r>
        <w:rPr>
          <w:rFonts w:ascii="Arial" w:cs="Arial" w:eastAsia="Arial" w:hAnsi="Arial"/>
          <w:color w:val="111827"/>
          <w:sz w:val="19"/>
          <w:szCs w:val="19"/>
        </w:rPr>
        <w:t xml:space="preserve">Collapsed versus expanded sidebar preference</w:t>
      </w:r>
    </w:p>
    <w:p>
      <w:pPr>
        <w:pStyle w:val="ListParagraph"/>
        <w:numPr>
          <w:ilvl w:val="0"/>
          <w:numId w:val="2"/>
        </w:numPr>
        <w:spacing w:after="40" w:before="40"/>
      </w:pPr>
      <w:r>
        <w:rPr>
          <w:rFonts w:ascii="Arial" w:cs="Arial" w:eastAsia="Arial" w:hAnsi="Arial"/>
          <w:color w:val="111827"/>
          <w:sz w:val="19"/>
          <w:szCs w:val="19"/>
        </w:rPr>
        <w:t xml:space="preserve">Mobile versus desktop usage pattern by feature — which features used on which device type</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15 — Knowledge Management Domain</w:t>
      </w:r>
    </w:p>
    <w:p>
      <w:pPr>
        <w:spacing w:after="160" w:before="80"/>
      </w:pPr>
      <w:r>
        <w:rPr>
          <w:rFonts w:ascii="Arial" w:cs="Arial" w:eastAsia="Arial" w:hAnsi="Arial"/>
          <w:i/>
          <w:iCs/>
          <w:color w:val="6B7280"/>
          <w:sz w:val="20"/>
          <w:szCs w:val="20"/>
        </w:rPr>
        <w:t xml:space="preserve">Institutional knowledge signals that reveal firm maturity, training investment, and single points of failure.</w:t>
      </w:r>
    </w:p>
    <w:p>
      <w:pPr>
        <w:pStyle w:val="ListParagraph"/>
        <w:numPr>
          <w:ilvl w:val="0"/>
          <w:numId w:val="2"/>
        </w:numPr>
        <w:spacing w:after="40" w:before="40"/>
      </w:pPr>
      <w:r>
        <w:rPr>
          <w:rFonts w:ascii="Arial" w:cs="Arial" w:eastAsia="Arial" w:hAnsi="Arial"/>
          <w:color w:val="111827"/>
          <w:sz w:val="19"/>
          <w:szCs w:val="19"/>
        </w:rPr>
        <w:t xml:space="preserve">Internal procedure documentation events — when processes get documented for the first time</w:t>
      </w:r>
    </w:p>
    <w:p>
      <w:pPr>
        <w:pStyle w:val="ListParagraph"/>
        <w:numPr>
          <w:ilvl w:val="0"/>
          <w:numId w:val="2"/>
        </w:numPr>
        <w:spacing w:after="40" w:before="40"/>
      </w:pPr>
      <w:r>
        <w:rPr>
          <w:rFonts w:ascii="Arial" w:cs="Arial" w:eastAsia="Arial" w:hAnsi="Arial"/>
          <w:color w:val="111827"/>
          <w:sz w:val="19"/>
          <w:szCs w:val="19"/>
        </w:rPr>
        <w:t xml:space="preserve">Procedure update events — when existing documentation gets revised</w:t>
      </w:r>
    </w:p>
    <w:p>
      <w:pPr>
        <w:pStyle w:val="ListParagraph"/>
        <w:numPr>
          <w:ilvl w:val="0"/>
          <w:numId w:val="2"/>
        </w:numPr>
        <w:spacing w:after="40" w:before="40"/>
      </w:pPr>
      <w:r>
        <w:rPr>
          <w:rFonts w:ascii="Arial" w:cs="Arial" w:eastAsia="Arial" w:hAnsi="Arial"/>
          <w:color w:val="111827"/>
          <w:sz w:val="19"/>
          <w:szCs w:val="19"/>
        </w:rPr>
        <w:t xml:space="preserve">Procedure access events — which staff access documented procedures and when</w:t>
      </w:r>
    </w:p>
    <w:p>
      <w:pPr>
        <w:pStyle w:val="ListParagraph"/>
        <w:numPr>
          <w:ilvl w:val="0"/>
          <w:numId w:val="2"/>
        </w:numPr>
        <w:spacing w:after="40" w:before="40"/>
      </w:pPr>
      <w:r>
        <w:rPr>
          <w:rFonts w:ascii="Arial" w:cs="Arial" w:eastAsia="Arial" w:hAnsi="Arial"/>
          <w:color w:val="111827"/>
          <w:sz w:val="19"/>
          <w:szCs w:val="19"/>
        </w:rPr>
        <w:t xml:space="preserve">Peer review events — ad hoc quality checks outside normal engagement completion flow</w:t>
      </w:r>
    </w:p>
    <w:p>
      <w:pPr>
        <w:pStyle w:val="ListParagraph"/>
        <w:numPr>
          <w:ilvl w:val="0"/>
          <w:numId w:val="2"/>
        </w:numPr>
        <w:spacing w:after="40" w:before="40"/>
      </w:pPr>
      <w:r>
        <w:rPr>
          <w:rFonts w:ascii="Arial" w:cs="Arial" w:eastAsia="Arial" w:hAnsi="Arial"/>
          <w:color w:val="111827"/>
          <w:sz w:val="19"/>
          <w:szCs w:val="19"/>
        </w:rPr>
        <w:t xml:space="preserve">Institutional memory risk score — derived metric based on undocumented knowledge held by single staff members</w:t>
      </w:r>
    </w:p>
    <w:p>
      <w:pPr>
        <w:pStyle w:val="ListParagraph"/>
        <w:numPr>
          <w:ilvl w:val="0"/>
          <w:numId w:val="2"/>
        </w:numPr>
        <w:spacing w:after="40" w:before="40"/>
      </w:pPr>
      <w:r>
        <w:rPr>
          <w:rFonts w:ascii="Arial" w:cs="Arial" w:eastAsia="Arial" w:hAnsi="Arial"/>
          <w:color w:val="111827"/>
          <w:sz w:val="19"/>
          <w:szCs w:val="19"/>
        </w:rPr>
        <w:t xml:space="preserve">Training material access — if training tracking built, which materials accessed by which staff</w:t>
      </w:r>
    </w:p>
    <w:p>
      <w:pPr>
        <w:pStyle w:val="ListParagraph"/>
        <w:numPr>
          <w:ilvl w:val="0"/>
          <w:numId w:val="2"/>
        </w:numPr>
        <w:spacing w:after="40" w:before="40"/>
      </w:pPr>
      <w:r>
        <w:rPr>
          <w:rFonts w:ascii="Arial" w:cs="Arial" w:eastAsia="Arial" w:hAnsi="Arial"/>
          <w:color w:val="111827"/>
          <w:sz w:val="19"/>
          <w:szCs w:val="19"/>
        </w:rPr>
        <w:t xml:space="preserve">Feature request logging — lightweight feedback field where firms log what they wish existed</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16 — Network Effects Domain</w:t>
      </w:r>
    </w:p>
    <w:p>
      <w:pPr>
        <w:spacing w:after="160" w:before="80"/>
      </w:pPr>
      <w:r>
        <w:rPr>
          <w:rFonts w:ascii="Arial" w:cs="Arial" w:eastAsia="Arial" w:hAnsi="Arial"/>
          <w:i/>
          <w:iCs/>
          <w:color w:val="6B7280"/>
          <w:sz w:val="20"/>
          <w:szCs w:val="20"/>
        </w:rPr>
        <w:t xml:space="preserve">Signals that become meaningful as the platform grows and firm-to-firm patterns emerge.</w:t>
      </w:r>
    </w:p>
    <w:p>
      <w:pPr>
        <w:pStyle w:val="ListParagraph"/>
        <w:numPr>
          <w:ilvl w:val="0"/>
          <w:numId w:val="2"/>
        </w:numPr>
        <w:spacing w:after="40" w:before="40"/>
      </w:pPr>
      <w:r>
        <w:rPr>
          <w:rFonts w:ascii="Arial" w:cs="Arial" w:eastAsia="Arial" w:hAnsi="Arial"/>
          <w:color w:val="111827"/>
          <w:sz w:val="19"/>
          <w:szCs w:val="19"/>
        </w:rPr>
        <w:t xml:space="preserve">Firm-to-firm referral connections — when one firm on the platform refers another</w:t>
      </w:r>
    </w:p>
    <w:p>
      <w:pPr>
        <w:pStyle w:val="ListParagraph"/>
        <w:numPr>
          <w:ilvl w:val="0"/>
          <w:numId w:val="2"/>
        </w:numPr>
        <w:spacing w:after="40" w:before="40"/>
      </w:pPr>
      <w:r>
        <w:rPr>
          <w:rFonts w:ascii="Arial" w:cs="Arial" w:eastAsia="Arial" w:hAnsi="Arial"/>
          <w:color w:val="111827"/>
          <w:sz w:val="19"/>
          <w:szCs w:val="19"/>
        </w:rPr>
        <w:t xml:space="preserve">Cross-firm client connections — if two firms share a client or referral relationship</w:t>
      </w:r>
    </w:p>
    <w:p>
      <w:pPr>
        <w:pStyle w:val="ListParagraph"/>
        <w:numPr>
          <w:ilvl w:val="0"/>
          <w:numId w:val="2"/>
        </w:numPr>
        <w:spacing w:after="40" w:before="40"/>
      </w:pPr>
      <w:r>
        <w:rPr>
          <w:rFonts w:ascii="Arial" w:cs="Arial" w:eastAsia="Arial" w:hAnsi="Arial"/>
          <w:color w:val="111827"/>
          <w:sz w:val="19"/>
          <w:szCs w:val="19"/>
        </w:rPr>
        <w:t xml:space="preserve">Network density by geography — clustering patterns in specific markets</w:t>
      </w:r>
    </w:p>
    <w:p>
      <w:pPr>
        <w:pStyle w:val="ListParagraph"/>
        <w:numPr>
          <w:ilvl w:val="0"/>
          <w:numId w:val="2"/>
        </w:numPr>
        <w:spacing w:after="40" w:before="40"/>
      </w:pPr>
      <w:r>
        <w:rPr>
          <w:rFonts w:ascii="Arial" w:cs="Arial" w:eastAsia="Arial" w:hAnsi="Arial"/>
          <w:color w:val="111827"/>
          <w:sz w:val="19"/>
          <w:szCs w:val="19"/>
        </w:rPr>
        <w:t xml:space="preserve">Industry event correlation — signup spikes correlated with external triggers</w:t>
      </w:r>
    </w:p>
    <w:p>
      <w:pPr>
        <w:pStyle w:val="ListParagraph"/>
        <w:numPr>
          <w:ilvl w:val="0"/>
          <w:numId w:val="2"/>
        </w:numPr>
        <w:spacing w:after="40" w:before="40"/>
      </w:pPr>
      <w:r>
        <w:rPr>
          <w:rFonts w:ascii="Arial" w:cs="Arial" w:eastAsia="Arial" w:hAnsi="Arial"/>
          <w:color w:val="111827"/>
          <w:sz w:val="19"/>
          <w:szCs w:val="19"/>
        </w:rPr>
        <w:t xml:space="preserve">Benchmark accuracy improvement events — when cohort size crosses statistical significance thresholds</w:t>
      </w:r>
    </w:p>
    <w:p>
      <w:pPr>
        <w:pStyle w:val="ListParagraph"/>
        <w:numPr>
          <w:ilvl w:val="0"/>
          <w:numId w:val="2"/>
        </w:numPr>
        <w:spacing w:after="40" w:before="40"/>
      </w:pPr>
      <w:r>
        <w:rPr>
          <w:rFonts w:ascii="Arial" w:cs="Arial" w:eastAsia="Arial" w:hAnsi="Arial"/>
          <w:color w:val="111827"/>
          <w:sz w:val="19"/>
          <w:szCs w:val="19"/>
        </w:rPr>
        <w:t xml:space="preserve">Viral coefficient tracking — if referral program built, spread rate per firm</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17 — System Performance Domain</w:t>
      </w:r>
    </w:p>
    <w:p>
      <w:pPr>
        <w:spacing w:after="160" w:before="80"/>
      </w:pPr>
      <w:r>
        <w:rPr>
          <w:rFonts w:ascii="Arial" w:cs="Arial" w:eastAsia="Arial" w:hAnsi="Arial"/>
          <w:i/>
          <w:iCs/>
          <w:color w:val="6B7280"/>
          <w:sz w:val="20"/>
          <w:szCs w:val="20"/>
        </w:rPr>
        <w:t xml:space="preserve">Internal only. Never enters the benchmark. Used for monitoring and correlating system performance with user behavior.</w:t>
      </w:r>
    </w:p>
    <w:p>
      <w:pPr>
        <w:pStyle w:val="ListParagraph"/>
        <w:numPr>
          <w:ilvl w:val="0"/>
          <w:numId w:val="2"/>
        </w:numPr>
        <w:spacing w:after="40" w:before="40"/>
      </w:pPr>
      <w:r>
        <w:rPr>
          <w:rFonts w:ascii="Arial" w:cs="Arial" w:eastAsia="Arial" w:hAnsi="Arial"/>
          <w:color w:val="111827"/>
          <w:sz w:val="19"/>
          <w:szCs w:val="19"/>
        </w:rPr>
        <w:t xml:space="preserve">API response time — endpoint, response time, error yes or no</w:t>
      </w:r>
    </w:p>
    <w:p>
      <w:pPr>
        <w:pStyle w:val="ListParagraph"/>
        <w:numPr>
          <w:ilvl w:val="0"/>
          <w:numId w:val="2"/>
        </w:numPr>
        <w:spacing w:after="40" w:before="40"/>
      </w:pPr>
      <w:r>
        <w:rPr>
          <w:rFonts w:ascii="Arial" w:cs="Arial" w:eastAsia="Arial" w:hAnsi="Arial"/>
          <w:color w:val="111827"/>
          <w:sz w:val="19"/>
          <w:szCs w:val="19"/>
        </w:rPr>
        <w:t xml:space="preserve">API error — endpoint, error type, user impact</w:t>
      </w:r>
    </w:p>
    <w:p>
      <w:pPr>
        <w:pStyle w:val="ListParagraph"/>
        <w:numPr>
          <w:ilvl w:val="0"/>
          <w:numId w:val="2"/>
        </w:numPr>
        <w:spacing w:after="40" w:before="40"/>
      </w:pPr>
      <w:r>
        <w:rPr>
          <w:rFonts w:ascii="Arial" w:cs="Arial" w:eastAsia="Arial" w:hAnsi="Arial"/>
          <w:color w:val="111827"/>
          <w:sz w:val="19"/>
          <w:szCs w:val="19"/>
        </w:rPr>
        <w:t xml:space="preserve">Background task completed — type, duration, success yes or no</w:t>
      </w:r>
    </w:p>
    <w:p>
      <w:pPr>
        <w:pStyle w:val="ListParagraph"/>
        <w:numPr>
          <w:ilvl w:val="0"/>
          <w:numId w:val="2"/>
        </w:numPr>
        <w:spacing w:after="40" w:before="40"/>
      </w:pPr>
      <w:r>
        <w:rPr>
          <w:rFonts w:ascii="Arial" w:cs="Arial" w:eastAsia="Arial" w:hAnsi="Arial"/>
          <w:color w:val="111827"/>
          <w:sz w:val="19"/>
          <w:szCs w:val="19"/>
        </w:rPr>
        <w:t xml:space="preserve">Background task failed — type, failure point, retry count</w:t>
      </w:r>
    </w:p>
    <w:p>
      <w:pPr>
        <w:pStyle w:val="ListParagraph"/>
        <w:numPr>
          <w:ilvl w:val="0"/>
          <w:numId w:val="2"/>
        </w:numPr>
        <w:spacing w:after="40" w:before="40"/>
      </w:pPr>
      <w:r>
        <w:rPr>
          <w:rFonts w:ascii="Arial" w:cs="Arial" w:eastAsia="Arial" w:hAnsi="Arial"/>
          <w:color w:val="111827"/>
          <w:sz w:val="19"/>
          <w:szCs w:val="19"/>
        </w:rPr>
        <w:t xml:space="preserve">External integration called — service, endpoint, response time, success yes or no</w:t>
      </w:r>
    </w:p>
    <w:p>
      <w:pPr>
        <w:pStyle w:val="ListParagraph"/>
        <w:numPr>
          <w:ilvl w:val="0"/>
          <w:numId w:val="2"/>
        </w:numPr>
        <w:spacing w:after="40" w:before="40"/>
      </w:pPr>
      <w:r>
        <w:rPr>
          <w:rFonts w:ascii="Arial" w:cs="Arial" w:eastAsia="Arial" w:hAnsi="Arial"/>
          <w:color w:val="111827"/>
          <w:sz w:val="19"/>
          <w:szCs w:val="19"/>
        </w:rPr>
        <w:t xml:space="preserve">Database query performance on high frequency intelligence queries</w:t>
      </w:r>
    </w:p>
    <w:p>
      <w:pPr>
        <w:pStyle w:val="ListParagraph"/>
        <w:numPr>
          <w:ilvl w:val="0"/>
          <w:numId w:val="2"/>
        </w:numPr>
        <w:spacing w:after="40" w:before="40"/>
      </w:pPr>
      <w:r>
        <w:rPr>
          <w:rFonts w:ascii="Arial" w:cs="Arial" w:eastAsia="Arial" w:hAnsi="Arial"/>
          <w:color w:val="111827"/>
          <w:sz w:val="19"/>
          <w:szCs w:val="19"/>
        </w:rPr>
        <w:t xml:space="preserve">Automation fired — rule type, trigger, actions executed, failures</w:t>
      </w:r>
    </w:p>
    <w:p>
      <w:pPr>
        <w:pStyle w:val="ListParagraph"/>
        <w:numPr>
          <w:ilvl w:val="0"/>
          <w:numId w:val="2"/>
        </w:numPr>
        <w:spacing w:after="40" w:before="40"/>
      </w:pPr>
      <w:r>
        <w:rPr>
          <w:rFonts w:ascii="Arial" w:cs="Arial" w:eastAsia="Arial" w:hAnsi="Arial"/>
          <w:color w:val="111827"/>
          <w:sz w:val="19"/>
          <w:szCs w:val="19"/>
        </w:rPr>
        <w:t xml:space="preserve">Automation failed — rule type, failure point, retry count</w:t>
      </w:r>
    </w:p>
    <w:p>
      <w:pPr>
        <w:spacing w:after="80" w:before="80"/>
      </w:pPr>
      <w:r>
        <w:t xml:space="preserve"/>
      </w:r>
    </w:p>
    <w:p>
      <w:pPr>
        <w:pStyle w:val="Heading1"/>
        <w:pBdr>
          <w:bottom w:val="single" w:color="1F3148" w:sz="4" w:space="6"/>
        </w:pBdr>
        <w:spacing w:after="160" w:before="400"/>
      </w:pPr>
      <w:r>
        <w:rPr>
          <w:rFonts w:ascii="Arial" w:cs="Arial" w:eastAsia="Arial" w:hAnsi="Arial"/>
          <w:b/>
          <w:bCs/>
          <w:color w:val="1F3148"/>
          <w:sz w:val="28"/>
          <w:szCs w:val="28"/>
        </w:rPr>
        <w:t xml:space="preserve">Implementation Rules</w:t>
      </w:r>
    </w:p>
    <w:p>
      <w:pPr>
        <w:spacing w:after="120" w:before="80"/>
      </w:pPr>
      <w:r>
        <w:rPr>
          <w:rFonts w:ascii="Arial" w:cs="Arial" w:eastAsia="Arial" w:hAnsi="Arial"/>
          <w:b/>
          <w:bCs/>
          <w:color w:val="111827"/>
          <w:sz w:val="20"/>
          <w:szCs w:val="20"/>
        </w:rPr>
        <w:t xml:space="preserve">These rules apply to every event on this list without exception.</w:t>
      </w:r>
    </w:p>
    <w:p>
      <w:pPr>
        <w:pStyle w:val="ListParagraph"/>
        <w:numPr>
          <w:ilvl w:val="0"/>
          <w:numId w:val="2"/>
        </w:numPr>
        <w:spacing w:after="40" w:before="40"/>
      </w:pPr>
      <w:r>
        <w:rPr>
          <w:rFonts w:ascii="Arial" w:cs="Arial" w:eastAsia="Arial" w:hAnsi="Arial"/>
          <w:color w:val="111827"/>
          <w:sz w:val="19"/>
          <w:szCs w:val="19"/>
        </w:rPr>
        <w:t xml:space="preserve">Fire-and-forget writes only. A failed event log write never surfaces as an error to the user. Log to error tracker, never to the user.</w:t>
      </w:r>
    </w:p>
    <w:p>
      <w:pPr>
        <w:pStyle w:val="ListParagraph"/>
        <w:numPr>
          <w:ilvl w:val="0"/>
          <w:numId w:val="2"/>
        </w:numPr>
        <w:spacing w:after="40" w:before="40"/>
      </w:pPr>
      <w:r>
        <w:rPr>
          <w:rFonts w:ascii="Arial" w:cs="Arial" w:eastAsia="Arial" w:hAnsi="Arial"/>
          <w:color w:val="111827"/>
          <w:sz w:val="19"/>
          <w:szCs w:val="19"/>
        </w:rPr>
        <w:t xml:space="preserve">Never block the main operation. The event log write is always secondary to the operational action it records.</w:t>
      </w:r>
    </w:p>
    <w:p>
      <w:pPr>
        <w:pStyle w:val="ListParagraph"/>
        <w:numPr>
          <w:ilvl w:val="0"/>
          <w:numId w:val="2"/>
        </w:numPr>
        <w:spacing w:after="40" w:before="40"/>
      </w:pPr>
      <w:r>
        <w:rPr>
          <w:rFonts w:ascii="Arial" w:cs="Arial" w:eastAsia="Arial" w:hAnsi="Arial"/>
          <w:color w:val="111827"/>
          <w:sz w:val="19"/>
          <w:szCs w:val="19"/>
        </w:rPr>
        <w:t xml:space="preserve">Service layer only. Event logging calls go in service functions alongside the business logic they record. Never in routers. Never in CRUD.</w:t>
      </w:r>
    </w:p>
    <w:p>
      <w:pPr>
        <w:pStyle w:val="ListParagraph"/>
        <w:numPr>
          <w:ilvl w:val="0"/>
          <w:numId w:val="2"/>
        </w:numPr>
        <w:spacing w:after="40" w:before="40"/>
      </w:pPr>
      <w:r>
        <w:rPr>
          <w:rFonts w:ascii="Arial" w:cs="Arial" w:eastAsia="Arial" w:hAnsi="Arial"/>
          <w:color w:val="111827"/>
          <w:sz w:val="19"/>
          <w:szCs w:val="19"/>
        </w:rPr>
        <w:t xml:space="preserve">Own session. The logging utility creates its own database session in a try-finally block. Never inherits the request session.</w:t>
      </w:r>
    </w:p>
    <w:p>
      <w:pPr>
        <w:pStyle w:val="ListParagraph"/>
        <w:numPr>
          <w:ilvl w:val="0"/>
          <w:numId w:val="2"/>
        </w:numPr>
        <w:spacing w:after="40" w:before="40"/>
      </w:pPr>
      <w:r>
        <w:rPr>
          <w:rFonts w:ascii="Arial" w:cs="Arial" w:eastAsia="Arial" w:hAnsi="Arial"/>
          <w:color w:val="111827"/>
          <w:sz w:val="19"/>
          <w:szCs w:val="19"/>
        </w:rPr>
        <w:t xml:space="preserve">Indexes on firm_id, event_type, and occurred_at from day one. Composite index on all three makes benchmark queries efficient even with millions of rows.</w:t>
      </w:r>
    </w:p>
    <w:p>
      <w:pPr>
        <w:pStyle w:val="ListParagraph"/>
        <w:numPr>
          <w:ilvl w:val="0"/>
          <w:numId w:val="2"/>
        </w:numPr>
        <w:spacing w:after="40" w:before="40"/>
      </w:pPr>
      <w:r>
        <w:rPr>
          <w:rFonts w:ascii="Arial" w:cs="Arial" w:eastAsia="Arial" w:hAnsi="Arial"/>
          <w:color w:val="111827"/>
          <w:sz w:val="19"/>
          <w:szCs w:val="19"/>
        </w:rPr>
        <w:t xml:space="preserve">Timezone-aware timestamps at millisecond precision on every event. occurred_at is TIMESTAMPTZ always.</w:t>
      </w:r>
    </w:p>
    <w:p>
      <w:pPr>
        <w:pStyle w:val="ListParagraph"/>
        <w:numPr>
          <w:ilvl w:val="0"/>
          <w:numId w:val="2"/>
        </w:numPr>
        <w:spacing w:after="40" w:before="40"/>
      </w:pPr>
      <w:r>
        <w:rPr>
          <w:rFonts w:ascii="Arial" w:cs="Arial" w:eastAsia="Arial" w:hAnsi="Arial"/>
          <w:color w:val="111827"/>
          <w:sz w:val="19"/>
          <w:szCs w:val="19"/>
        </w:rPr>
        <w:t xml:space="preserve">metadata column is JSONB. Event-specific detail lives here. Schema is flexible but document the expected keys for each event type.</w:t>
      </w:r>
    </w:p>
    <w:p>
      <w:pPr>
        <w:pStyle w:val="ListParagraph"/>
        <w:numPr>
          <w:ilvl w:val="0"/>
          <w:numId w:val="2"/>
        </w:numPr>
        <w:spacing w:after="40" w:before="40"/>
      </w:pPr>
      <w:r>
        <w:rPr>
          <w:rFonts w:ascii="Arial" w:cs="Arial" w:eastAsia="Arial" w:hAnsi="Arial"/>
          <w:color w:val="111827"/>
          <w:sz w:val="19"/>
          <w:szCs w:val="19"/>
        </w:rPr>
        <w:t xml:space="preserve">session_id on every user-initiated event. Links events from the same session for workflow sequence analysis.</w:t>
      </w:r>
    </w:p>
    <w:p>
      <w:pPr>
        <w:spacing w:after="80" w:before="80"/>
      </w:pPr>
      <w:r>
        <w:t xml:space="preserve"/>
      </w:r>
    </w:p>
    <w:p>
      <w:pPr>
        <w:spacing w:after="200" w:before="200"/>
        <w:jc w:val="center"/>
      </w:pPr>
      <w:r>
        <w:rPr>
          <w:rFonts w:ascii="Arial" w:cs="Arial" w:eastAsia="Arial" w:hAnsi="Arial"/>
          <w:i/>
          <w:iCs/>
          <w:color w:val="6B7280"/>
          <w:sz w:val="18"/>
          <w:szCs w:val="18"/>
        </w:rPr>
        <w:t xml:space="preserve">JAMM PX — Master Behavioral Tracking Schema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6"/>
      </w:pBdr>
      <w:spacing w:before="120"/>
    </w:pPr>
    <w:r>
      <w:rPr>
        <w:rFonts w:ascii="Arial" w:cs="Arial" w:eastAsia="Arial" w:hAnsi="Arial"/>
        <w:color w:val="6B7280"/>
        <w:sz w:val="16"/>
        <w:szCs w:val="16"/>
      </w:rPr>
      <w:t xml:space="preserve">JAMM PX — Confidential     </w:t>
    </w:r>
    <w:r>
      <w:rPr>
        <w:rFonts w:ascii="Arial" w:cs="Arial" w:eastAsia="Arial" w:hAnsi="Arial"/>
        <w:color w:val="6B7280"/>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6"/>
      </w:pBdr>
      <w:spacing w:after="120"/>
    </w:pPr>
    <w:r>
      <w:rPr>
        <w:rFonts w:ascii="Arial" w:cs="Arial" w:eastAsia="Arial" w:hAnsi="Arial"/>
        <w:color w:val="6B7280"/>
        <w:sz w:val="16"/>
        <w:szCs w:val="16"/>
      </w:rPr>
      <w:t xml:space="preserve">JAMM PX — Master Behavioral Tracking Schema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148"/>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F31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2026-05-30T21:36:29.019Z</dcterms:created>
  <dcterms:modified xsi:type="dcterms:W3CDTF">2026-05-30T21:36:29.019Z</dcterms:modified>
</cp:coreProperties>
</file>

<file path=docProps/custom.xml><?xml version="1.0" encoding="utf-8"?>
<Properties xmlns="http://schemas.openxmlformats.org/officeDocument/2006/custom-properties" xmlns:vt="http://schemas.openxmlformats.org/officeDocument/2006/docPropsVTypes"/>
</file>