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How Templates Work in JAMM PX</w:t>
      </w:r>
    </w:p>
    <w:p>
      <w:pPr>
        <w:pStyle w:val="Heading1"/>
        <w:spacing w:after="150" w:before="300"/>
      </w:pPr>
      <w:r>
        <w:t xml:space="preserve">What a template actually is</w:t>
      </w:r>
    </w:p>
    <w:p>
      <w:pPr>
        <w:spacing w:after="120"/>
      </w:pPr>
      <w:r>
        <w:rPr>
          <w:b w:val="false"/>
          <w:bCs w:val="false"/>
          <w:i w:val="false"/>
          <w:iCs w:val="false"/>
        </w:rPr>
        <w:t xml:space="preserve">JAMM PX ships your Firm Library with a handful of starter documents already sitting in it, labeled Sample. Think of them as a head start, not a finished product. You’d never send a Sample to a client as-is. It’s there so nobody on your team has to start from a blank page.</w:t>
      </w:r>
    </w:p>
    <w:p>
      <w:pPr>
        <w:pStyle w:val="Heading1"/>
        <w:spacing w:after="150" w:before="300"/>
      </w:pPr>
      <w:r>
        <w:t xml:space="preserve">The three states</w:t>
      </w:r>
    </w:p>
    <w:p>
      <w:pPr>
        <w:spacing w:after="120"/>
      </w:pPr>
      <w:r>
        <w:rPr>
          <w:b w:val="false"/>
          <w:bCs w:val="false"/>
          <w:i w:val="false"/>
          <w:iCs w:val="false"/>
        </w:rPr>
        <w:t xml:space="preserve">Every template lives in one of three states:</w:t>
      </w:r>
    </w:p>
    <w:p>
      <w:pPr>
        <w:pStyle w:val="ListParagraph"/>
        <w:numPr>
          <w:ilvl w:val="0"/>
          <w:numId w:val="1"/>
        </w:numPr>
        <w:spacing w:after="60"/>
      </w:pPr>
      <w:r>
        <w:t xml:space="preserve">Sample — what JAMM shipped. Nobody can edit it directly.</w:t>
      </w:r>
    </w:p>
    <w:p>
      <w:pPr>
        <w:pStyle w:val="ListParagraph"/>
        <w:numPr>
          <w:ilvl w:val="0"/>
          <w:numId w:val="1"/>
        </w:numPr>
        <w:spacing w:after="60"/>
      </w:pPr>
      <w:r>
        <w:t xml:space="preserve">Draft — your firm’s own working copy. Only a firm owner or manager can create or touch one.</w:t>
      </w:r>
    </w:p>
    <w:p>
      <w:pPr>
        <w:pStyle w:val="ListParagraph"/>
        <w:numPr>
          <w:ilvl w:val="0"/>
          <w:numId w:val="1"/>
        </w:numPr>
        <w:spacing w:after="60"/>
      </w:pPr>
      <w:r>
        <w:t xml:space="preserve">Approved — done, published, ready to use. Any staff member can use it. Only an owner or manager can change it, replace it, or send it back to Draft.</w:t>
      </w:r>
    </w:p>
    <w:p>
      <w:pPr>
        <w:pStyle w:val="Heading1"/>
        <w:spacing w:after="150" w:before="300"/>
      </w:pPr>
      <w:r>
        <w:t xml:space="preserve">Turning a Sample into something you’ll actually use</w:t>
      </w:r>
    </w:p>
    <w:p>
      <w:pPr>
        <w:spacing w:after="80"/>
      </w:pPr>
      <w:r>
        <w:t xml:space="preserve">1. Open the Sample in Firm Library.</w:t>
      </w:r>
    </w:p>
    <w:p>
      <w:pPr>
        <w:spacing w:after="80"/>
      </w:pPr>
      <w:r>
        <w:t xml:space="preserve">2. Click "Create a draft from this." Your firm gets its own copy to edit. The original Sample stays put, so you can always start over if the edit goes sideways.</w:t>
      </w:r>
    </w:p>
    <w:p>
      <w:pPr>
        <w:spacing w:after="80"/>
      </w:pPr>
      <w:r>
        <w:t xml:space="preserve">3. Rewrite it for your firm: real fees, real terms, your state, your process. Cut whatever doesn’t apply.</w:t>
      </w:r>
    </w:p>
    <w:p>
      <w:pPr>
        <w:spacing w:after="80"/>
      </w:pPr>
      <w:r>
        <w:t xml:space="preserve">4. When it’s ready, a firm owner or manager clicks "Approve." Now your whole team can use it.</w:t>
      </w:r>
    </w:p>
    <w:p>
      <w:pPr>
        <w:pStyle w:val="Heading1"/>
        <w:spacing w:after="150" w:before="300"/>
      </w:pPr>
      <w:r>
        <w:t xml:space="preserve">A couple of things worth knowing</w:t>
      </w:r>
    </w:p>
    <w:p>
      <w:pPr>
        <w:spacing w:after="120"/>
      </w:pPr>
      <w:r>
        <w:rPr>
          <w:b w:val="false"/>
          <w:bCs w:val="false"/>
          <w:i w:val="false"/>
          <w:iCs w:val="false"/>
        </w:rPr>
        <w:t xml:space="preserve">Only one Draft and one Approved copy of each template exists per firm, so you’re never hunting through versions. If you approve something and later need to fix it, pull it back to Draft, edit, re-approve. Your firm still keeps the record of who approved it and when, even after you pull it back.</w:t>
      </w:r>
    </w:p>
    <w:p>
      <w:pPr>
        <w:spacing w:after="120"/>
      </w:pPr>
      <w:r>
        <w:rPr>
          <w:b w:val="false"/>
          <w:bCs w:val="false"/>
          <w:i w:val="false"/>
          <w:iCs w:val="false"/>
        </w:rPr>
        <w:t xml:space="preserve">Staff can use an Approved template, but they can’t edit it. If something’s wrong with it, that’s an owner or manager conversation.</w:t>
      </w:r>
    </w:p>
    <w:p>
      <w:pPr>
        <w:pStyle w:val="Heading1"/>
        <w:spacing w:after="150" w:before="300"/>
      </w:pPr>
      <w:r>
        <w:t xml:space="preserve">If your firm uses AI to help draft or edit anything from this library</w:t>
      </w:r>
    </w:p>
    <w:p>
      <w:pPr>
        <w:spacing w:after="120"/>
      </w:pPr>
      <w:r>
        <w:rPr>
          <w:b w:val="false"/>
          <w:bCs w:val="false"/>
          <w:i w:val="false"/>
          <w:iCs w:val="false"/>
        </w:rPr>
        <w:t xml:space="preserve">That’s fine, plenty of firms do. A few things worth building into how you use it:</w:t>
      </w:r>
    </w:p>
    <w:p>
      <w:pPr>
        <w:pStyle w:val="ListParagraph"/>
        <w:numPr>
          <w:ilvl w:val="0"/>
          <w:numId w:val="1"/>
        </w:numPr>
        <w:spacing w:after="60"/>
      </w:pPr>
      <w:r>
        <w:t xml:space="preserve">A real person reviews anything AI touched before it goes to a client. Not a skim, an actual read.</w:t>
      </w:r>
    </w:p>
    <w:p>
      <w:pPr>
        <w:pStyle w:val="ListParagraph"/>
        <w:numPr>
          <w:ilvl w:val="0"/>
          <w:numId w:val="1"/>
        </w:numPr>
        <w:spacing w:after="60"/>
      </w:pPr>
      <w:r>
        <w:t xml:space="preserve">Whoever signs or sends the document is responsible for it, the same as if they’d written every word themselves. "AI wrote it" isn’t a defense if something’s wrong.</w:t>
      </w:r>
    </w:p>
    <w:p>
      <w:pPr>
        <w:pStyle w:val="ListParagraph"/>
        <w:numPr>
          <w:ilvl w:val="0"/>
          <w:numId w:val="1"/>
        </w:numPr>
        <w:spacing w:after="60"/>
      </w:pPr>
      <w:r>
        <w:t xml:space="preserve">If AI was used on something a client will see, especially an engagement letter, say so. Most firms handle this with a line in the engagement letter itself.</w:t>
      </w:r>
    </w:p>
    <w:p>
      <w:pPr>
        <w:pStyle w:val="ListParagraph"/>
        <w:numPr>
          <w:ilvl w:val="0"/>
          <w:numId w:val="1"/>
        </w:numPr>
        <w:spacing w:after="60"/>
      </w:pPr>
      <w:r>
        <w:t xml:space="preserve">Don’t take AI-generated numbers, tax positions, or citations at face value. Check them against a real source before they go anywhere.</w:t>
      </w:r>
    </w:p>
    <w:p>
      <w:pPr>
        <w:spacing w:after="120"/>
      </w:pPr>
      <w:r>
        <w:rPr>
          <w:b w:val="false"/>
          <w:bCs w:val="false"/>
          <w:i w:val="false"/>
          <w:iCs w:val="false"/>
        </w:rPr>
        <w:t xml:space="preserve">None of this is unique to JAMM PX, it’s the same standard most professional bodies already expect from firms using AI tools generally. It just applies here too.</w:t>
      </w:r>
    </w:p>
    <w:p>
      <w:pPr>
        <w:pStyle w:val="Heading1"/>
        <w:spacing w:after="150" w:before="300"/>
      </w:pPr>
      <w:r>
        <w:t xml:space="preserve">One important note on the engagement letters</w:t>
      </w:r>
    </w:p>
    <w:p>
      <w:pPr>
        <w:spacing w:after="120"/>
      </w:pPr>
      <w:r>
        <w:rPr>
          <w:b w:val="false"/>
          <w:bCs w:val="false"/>
          <w:i w:val="false"/>
          <w:iCs w:val="false"/>
        </w:rPr>
        <w:t xml:space="preserve">The two engagement letter templates aren’t finished contracts. They’re structure only, section headings and prompts telling you what belongs where, not the actual legal wording. That’s deliberate. Engagement letters are contracts, and the right wording depends on your state, your services, and how much risk your firm is willing to carry. Before you approve either one, get it in front of your attorney or your professional liability insurer. JAMM PX gives you the skeleton. Your firm supplies the legal language.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2026-09-23T14:55:53.965Z</dcterms:created>
  <dcterms:modified xsi:type="dcterms:W3CDTF">2026-09-23T14:55:53.974Z</dcterms:modified>
</cp:coreProperties>
</file>

<file path=docProps/custom.xml><?xml version="1.0" encoding="utf-8"?>
<Properties xmlns="http://schemas.openxmlformats.org/officeDocument/2006/custom-properties" xmlns:vt="http://schemas.openxmlformats.org/officeDocument/2006/docPropsVTypes"/>
</file>