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 do Conversor</w:t>
      </w:r>
    </w:p>
    <w:p>
      <w:r>
        <w:t xml:space="preserve">Este parágrafo tem </w:t>
      </w:r>
      <w:r>
        <w:rPr>
          <w:b/>
        </w:rPr>
        <w:t>negrito</w:t>
      </w:r>
      <w:r>
        <w:t xml:space="preserve">, </w:t>
      </w:r>
      <w:r>
        <w:rPr>
          <w:i/>
        </w:rPr>
        <w:t>itálico</w:t>
      </w:r>
      <w:r>
        <w:t xml:space="preserve">, </w:t>
      </w:r>
      <w:r>
        <w:rPr>
          <w:i/>
        </w:rPr>
      </w:r>
      <w:r>
        <w:rPr>
          <w:b/>
          <w:i/>
        </w:rPr>
        <w:t>negrito e itálico</w:t>
      </w:r>
      <w:r>
        <w:rPr>
          <w:i/>
        </w:rPr>
      </w:r>
      <w:r>
        <w:t xml:space="preserve">, </w:t>
      </w:r>
      <w:r>
        <w:rPr>
          <w:strike/>
        </w:rPr>
        <w:t>tachado</w:t>
      </w:r>
      <w:r>
        <w:t xml:space="preserve">, </w:t>
      </w:r>
      <w:r>
        <w:rPr>
          <w:rFonts w:ascii="Consolas" w:hAnsi="Consolas" w:eastAsia="Consolas" w:cs="Consolas"/>
          <w:noProof/>
          <w:color w:val="A31F4A"/>
          <w:shd w:val="clear" w:color="auto" w:fill="EDEDED"/>
        </w:rPr>
        <w:t>código inline</w:t>
      </w:r>
      <w:r>
        <w:t>,</w:t>
      </w:r>
      <w:r>
        <w:t xml:space="preserve"> </w:t>
      </w:r>
      <w:r>
        <w:t xml:space="preserve">um </w:t>
      </w:r>
      <w:hyperlink r:id="rId10">
        <w:r>
          <w:rPr>
            <w:color w:val="0563C1"/>
            <w:u w:val="single"/>
          </w:rPr>
          <w:t>link para o site da Fatec</w:t>
        </w:r>
      </w:hyperlink>
      <w:r>
        <w:t xml:space="preserve"> e texto com H</w:t>
      </w:r>
      <w:r>
        <w:rPr>
          <w:vertAlign w:val="subscript"/>
        </w:rPr>
        <w:t>2</w:t>
      </w:r>
      <w:r>
        <w:t>O e E = mc</w:t>
      </w:r>
      <w:r>
        <w:rPr>
          <w:vertAlign w:val="superscript"/>
        </w:rPr>
        <w:t>2</w:t>
      </w:r>
      <w:r>
        <w:t>.</w:t>
      </w:r>
      <w:r>
        <w:t xml:space="preserve"> </w:t>
      </w:r>
      <w:r>
        <w:t xml:space="preserve">Também há </w:t>
      </w:r>
      <w:r>
        <w:rPr>
          <w:u w:val="single"/>
        </w:rPr>
        <w:t>sublinhado</w:t>
      </w:r>
      <w:r>
        <w:t xml:space="preserve"> e </w:t>
      </w:r>
      <w:r>
        <w:rPr>
          <w:highlight w:val="yellow"/>
        </w:rPr>
        <w:t>destaque</w:t>
      </w:r>
      <w:r>
        <w:t>. Acentuação: ação, coração, pão, você, à.</w:t>
      </w:r>
    </w:p>
    <w:p>
      <w:r>
        <w:t>Quebra de linha forçada com dois espaços</w:t>
      </w:r>
      <w:r>
        <w:br/>
      </w:r>
      <w:r>
        <w:t>continua na linha seguinte.</w:t>
      </w:r>
    </w:p>
    <w:p>
      <w:pPr>
        <w:pStyle w:val="Heading2"/>
      </w:pPr>
      <w:r>
        <w:t>Listas</w:t>
      </w:r>
    </w:p>
    <w:p>
      <w:pPr>
        <w:numPr>
          <w:ilvl w:val="0"/>
          <w:numId w:val="10"/>
        </w:numPr>
        <w:spacing w:after="40"/>
      </w:pPr>
      <w:r>
        <w:t>Item com marcador</w:t>
      </w:r>
    </w:p>
    <w:p>
      <w:pPr>
        <w:numPr>
          <w:ilvl w:val="0"/>
          <w:numId w:val="10"/>
        </w:numPr>
        <w:spacing w:after="40"/>
      </w:pPr>
      <w:r>
        <w:t>Segundo item</w:t>
      </w:r>
    </w:p>
    <w:p>
      <w:pPr>
        <w:numPr>
          <w:ilvl w:val="1"/>
          <w:numId w:val="10"/>
        </w:numPr>
        <w:spacing w:after="40"/>
      </w:pPr>
      <w:r>
        <w:t>Subitem aninhado</w:t>
      </w:r>
    </w:p>
    <w:p>
      <w:pPr>
        <w:numPr>
          <w:ilvl w:val="2"/>
          <w:numId w:val="10"/>
        </w:numPr>
        <w:spacing w:after="40"/>
      </w:pPr>
      <w:r>
        <w:t>Terceiro nível</w:t>
      </w:r>
    </w:p>
    <w:p>
      <w:pPr>
        <w:numPr>
          <w:ilvl w:val="0"/>
          <w:numId w:val="10"/>
        </w:numPr>
        <w:spacing w:after="40"/>
      </w:pPr>
      <w:r>
        <w:t>Terceiro item</w:t>
      </w:r>
    </w:p>
    <w:p>
      <w:pPr>
        <w:numPr>
          <w:ilvl w:val="0"/>
          <w:numId w:val="11"/>
        </w:numPr>
        <w:spacing w:after="40"/>
      </w:pPr>
      <w:r>
        <w:t>Primeiro passo</w:t>
      </w:r>
    </w:p>
    <w:p>
      <w:pPr>
        <w:numPr>
          <w:ilvl w:val="0"/>
          <w:numId w:val="11"/>
        </w:numPr>
        <w:spacing w:after="40"/>
      </w:pPr>
      <w:r>
        <w:t>Segundo passo</w:t>
      </w:r>
    </w:p>
    <w:p>
      <w:pPr>
        <w:numPr>
          <w:ilvl w:val="1"/>
          <w:numId w:val="12"/>
        </w:numPr>
        <w:spacing w:after="40"/>
      </w:pPr>
      <w:r>
        <w:t>Sub-passo a</w:t>
      </w:r>
    </w:p>
    <w:p>
      <w:pPr>
        <w:numPr>
          <w:ilvl w:val="1"/>
          <w:numId w:val="12"/>
        </w:numPr>
        <w:spacing w:after="40"/>
      </w:pPr>
      <w:r>
        <w:t>Sub-passo b</w:t>
      </w:r>
    </w:p>
    <w:p>
      <w:pPr>
        <w:numPr>
          <w:ilvl w:val="0"/>
          <w:numId w:val="11"/>
        </w:numPr>
        <w:spacing w:after="40"/>
      </w:pPr>
      <w:r>
        <w:t>Terceiro passo</w:t>
      </w:r>
    </w:p>
    <w:p>
      <w:r>
        <w:t>Lista numerada que começa em 5:</w:t>
      </w:r>
    </w:p>
    <w:p>
      <w:pPr>
        <w:numPr>
          <w:ilvl w:val="0"/>
          <w:numId w:val="13"/>
        </w:numPr>
        <w:spacing w:after="40"/>
      </w:pPr>
      <w:r>
        <w:t>Cinco</w:t>
      </w:r>
    </w:p>
    <w:p>
      <w:pPr>
        <w:numPr>
          <w:ilvl w:val="0"/>
          <w:numId w:val="13"/>
        </w:numPr>
        <w:spacing w:after="40"/>
      </w:pPr>
      <w:r>
        <w:t>Seis</w:t>
      </w:r>
    </w:p>
    <w:p>
      <w:r>
        <w:t>Lista de tarefas:</w:t>
      </w:r>
    </w:p>
    <w:p>
      <w:pPr>
        <w:numPr>
          <w:ilvl w:val="0"/>
          <w:numId w:val="10"/>
        </w:numPr>
        <w:spacing w:after="40"/>
      </w:pPr>
      <w:r>
        <w:t>☑</w:t>
      </w:r>
      <w:r>
        <w:t xml:space="preserve"> Escrever o conversor</w:t>
      </w:r>
    </w:p>
    <w:p>
      <w:pPr>
        <w:numPr>
          <w:ilvl w:val="0"/>
          <w:numId w:val="10"/>
        </w:numPr>
        <w:spacing w:after="40"/>
      </w:pPr>
      <w:r>
        <w:t>☐</w:t>
      </w:r>
      <w:r>
        <w:t xml:space="preserve"> Testar no Word</w:t>
      </w:r>
    </w:p>
    <w:p>
      <w:r>
        <w:t>Lista "solta" com parágrafos:</w:t>
      </w:r>
    </w:p>
    <w:p>
      <w:pPr>
        <w:numPr>
          <w:ilvl w:val="0"/>
          <w:numId w:val="14"/>
        </w:numPr>
      </w:pPr>
      <w:r>
        <w:t>Primeiro item com um parágrafo longo.</w:t>
      </w:r>
    </w:p>
    <w:p>
      <w:pPr>
        <w:ind w:left="720"/>
      </w:pPr>
      <w:r>
        <w:t>Segundo parágrafo do mesmo item, indentado.</w:t>
      </w:r>
    </w:p>
    <w:p>
      <w:pPr>
        <w:numPr>
          <w:ilvl w:val="0"/>
          <w:numId w:val="14"/>
        </w:numPr>
      </w:pPr>
      <w:r>
        <w:t>Segundo item.</w:t>
      </w:r>
    </w:p>
    <w:p>
      <w:pPr>
        <w:pStyle w:val="Heading2"/>
      </w:pPr>
      <w:r>
        <w:t>Citação</w:t>
      </w:r>
    </w:p>
    <w:p>
      <w:pPr>
        <w:pBdr>
          <w:left w:val="single" w:sz="18" w:space="8" w:color="A6A6A6"/>
        </w:pBdr>
        <w:ind w:left="425"/>
      </w:pPr>
      <w:r>
        <w:t>Esta é uma citação.</w:t>
      </w:r>
      <w:r>
        <w:t xml:space="preserve"> </w:t>
      </w:r>
      <w:r>
        <w:t>Continua na mesma citação.</w:t>
      </w:r>
    </w:p>
    <w:p>
      <w:pPr>
        <w:pBdr>
          <w:left w:val="single" w:sz="18" w:space="8" w:color="A6A6A6"/>
        </w:pBdr>
        <w:ind w:left="850"/>
      </w:pPr>
      <w:r>
        <w:t>Citação aninhada.</w:t>
      </w:r>
    </w:p>
    <w:p>
      <w:pPr>
        <w:pStyle w:val="Heading2"/>
      </w:pPr>
      <w:r>
        <w:t>Código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5F5F5"/>
        <w:spacing w:before="80" w:after="160" w:line="240" w:lineRule="auto"/>
        <w:jc w:val="left"/>
      </w:pPr>
      <w:r>
        <w:rPr>
          <w:rFonts w:ascii="Consolas" w:hAnsi="Consolas" w:eastAsia="Consolas" w:cs="Consolas"/>
          <w:noProof/>
          <w:sz w:val="19"/>
        </w:rPr>
        <w:t>def fatorial(n: int) -&gt; int:</w:t>
      </w:r>
      <w:r>
        <w:br/>
      </w:r>
      <w:r>
        <w:rPr>
          <w:rFonts w:ascii="Consolas" w:hAnsi="Consolas" w:eastAsia="Consolas" w:cs="Consolas"/>
          <w:noProof/>
          <w:sz w:val="19"/>
        </w:rPr>
        <w:t xml:space="preserve">    """Calcula n!"""</w:t>
      </w:r>
      <w:r>
        <w:br/>
      </w:r>
      <w:r>
        <w:rPr>
          <w:rFonts w:ascii="Consolas" w:hAnsi="Consolas" w:eastAsia="Consolas" w:cs="Consolas"/>
          <w:noProof/>
          <w:sz w:val="19"/>
        </w:rPr>
        <w:t xml:space="preserve">    if n &lt;= 1:</w:t>
      </w:r>
      <w:r>
        <w:br/>
      </w:r>
      <w:r>
        <w:rPr>
          <w:rFonts w:ascii="Consolas" w:hAnsi="Consolas" w:eastAsia="Consolas" w:cs="Consolas"/>
          <w:noProof/>
          <w:sz w:val="19"/>
        </w:rPr>
        <w:t xml:space="preserve">        return 1</w:t>
      </w:r>
      <w:r>
        <w:br/>
      </w:r>
      <w:r>
        <w:rPr>
          <w:rFonts w:ascii="Consolas" w:hAnsi="Consolas" w:eastAsia="Consolas" w:cs="Consolas"/>
          <w:noProof/>
          <w:sz w:val="19"/>
        </w:rPr>
        <w:t xml:space="preserve">    return n * fatorial(n - 1)</w:t>
      </w:r>
    </w:p>
    <w:p>
      <w:pPr>
        <w:pStyle w:val="Heading2"/>
      </w:pPr>
      <w:r>
        <w:t>Tabela</w:t>
      </w:r>
    </w:p>
    <w:tbl>
      <w:tblPr>
        <w:tblW w:type="auto" w:w="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CE6F2"/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  <w:t>Amostra</w:t>
            </w:r>
          </w:p>
        </w:tc>
        <w:tc>
          <w:tcPr>
            <w:tcW w:type="dxa" w:w="2268"/>
            <w:shd w:val="clear" w:color="auto" w:fill="DCE6F2"/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  <w:t>Espessura (nm)</w:t>
            </w:r>
          </w:p>
        </w:tc>
        <w:tc>
          <w:tcPr>
            <w:tcW w:type="dxa" w:w="2268"/>
            <w:shd w:val="clear" w:color="auto" w:fill="DCE6F2"/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  <w:t>Composição</w:t>
            </w:r>
          </w:p>
        </w:tc>
        <w:tc>
          <w:tcPr>
            <w:tcW w:type="dxa" w:w="2268"/>
            <w:shd w:val="clear" w:color="auto" w:fill="DCE6F2"/>
          </w:tcPr>
          <w:p>
            <w:pPr>
              <w:spacing w:after="0" w:before="0" w:line="240" w:lineRule="auto"/>
            </w:pPr>
            <w:r>
              <w:rPr>
                <w:b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>
              <w:t>A1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right"/>
            </w:pPr>
            <w:r>
              <w:t>120,5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center"/>
            </w:pPr>
            <w:r>
              <w:t>TeO₂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</w:pPr>
            <w:r/>
            <w:r>
              <w:rPr>
                <w:b/>
              </w:rPr>
              <w:t>ok</w:t>
            </w:r>
            <w:r/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>
              <w:t>A2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right"/>
            </w:pPr>
            <w:r>
              <w:t>98,2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center"/>
            </w:pPr>
            <w:r>
              <w:t>TeO₃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</w:pPr>
            <w:r>
              <w:t>refazer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>
              <w:t>B1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right"/>
            </w:pPr>
            <w:r>
              <w:t>210,0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center"/>
            </w:pPr>
            <w:r>
              <w:rPr>
                <w:rFonts w:ascii="Consolas" w:hAnsi="Consolas" w:eastAsia="Consolas" w:cs="Consolas"/>
                <w:noProof/>
                <w:color w:val="A31F4A"/>
                <w:shd w:val="clear" w:color="auto" w:fill="EDEDED"/>
              </w:rPr>
              <w:t>mix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</w:pPr>
            <w:r>
              <w:t>ver nota</w:t>
            </w:r>
            <w:r>
              <w:rPr>
                <w:rStyle w:val="FootnoteReference"/>
                <w:vertAlign w:val="superscript"/>
              </w:rPr>
              <w:footnoteReference w:id="1"/>
            </w:r>
          </w:p>
        </w:tc>
      </w:tr>
    </w:tbl>
    <w:p>
      <w:pPr>
        <w:spacing w:after="40"/>
      </w:pPr>
    </w:p>
    <w:p>
      <w:pPr>
        <w:pStyle w:val="Heading2"/>
      </w:pPr>
      <w:r>
        <w:t>Equações</w:t>
      </w:r>
    </w:p>
    <w:p>
      <w:r>
        <w:t xml:space="preserve">A energia é </w:t>
      </w:r>
      <w:r>
        <w:rPr>
          <w:rFonts w:ascii="Cambria Math" w:hAnsi="Cambria Math"/>
          <w:i/>
        </w:rPr>
        <w:t>E = hν</w:t>
      </w:r>
      <w:r>
        <w:t xml:space="preserve"> e o desvio padrão é </w:t>
      </w:r>
      <w:r>
        <w:rPr>
          <w:rFonts w:ascii="Cambria Math" w:hAnsi="Cambria Math"/>
          <w:i/>
        </w:rPr>
        <w:t>σ = √(1)/(N)∑ᵢ₌₁^(N)(xᵢ-μ)²</w:t>
      </w:r>
      <w:r>
        <w:t>.</w:t>
      </w:r>
      <w:r>
        <w:t xml:space="preserve"> </w:t>
      </w:r>
      <w:r>
        <w:t>Preços em reais não viram equação: R$ 5,00 e R$ 10,00.</w:t>
      </w:r>
    </w:p>
    <w:p>
      <w:pPr>
        <w:jc w:val="center"/>
      </w:pPr>
      <w:r>
        <w:rPr>
          <w:rFonts w:ascii="Cambria Math" w:hAnsi="Cambria Math"/>
          <w:i/>
        </w:rPr>
        <w:t>χ²_(red) = (1)/(N-p)∑ᵢ₌₁^(N)((yᵢ - f(xᵢ))²)/(σᵢ²)</w:t>
      </w:r>
    </w:p>
    <w:p>
      <w:pPr>
        <w:pStyle w:val="Heading2"/>
      </w:pPr>
      <w:r>
        <w:t>Imagem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19" cy="1800224"/>
            <wp:docPr id="1" name="Picture 1" descr="Gráfico de ex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exemp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800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</w:rPr>
        <w:t>[Imagem: Imagem remota]</w:t>
      </w:r>
    </w:p>
    <w:p>
      <w:pPr>
        <w:pBdr>
          <w:bottom w:val="single" w:sz="6" w:space="1" w:color="A6A6A6"/>
        </w:pBdr>
        <w:spacing w:after="240"/>
      </w:pPr>
    </w:p>
    <w:p>
      <w:pPr>
        <w:pStyle w:val="Heading2"/>
      </w:pPr>
      <w:r>
        <w:t>Notas</w:t>
      </w:r>
    </w:p>
    <w:p>
      <w:r>
        <w:t>Uma afirmação com nota de rodapé</w:t>
      </w:r>
      <w:r>
        <w:rPr>
          <w:rStyle w:val="FootnoteReference"/>
          <w:vertAlign w:val="superscript"/>
        </w:rPr>
        <w:footnoteReference w:id="2"/>
      </w:r>
      <w:r>
        <w:t xml:space="preserve"> e outra</w:t>
      </w:r>
      <w:r>
        <w:rPr>
          <w:rStyle w:val="FootnoteReference"/>
          <w:vertAlign w:val="superscript"/>
        </w:rPr>
        <w:footnoteReference w:id="3"/>
      </w:r>
      <w:r>
        <w:t>.</w:t>
      </w:r>
    </w:p>
    <w:p>
      <w:pPr>
        <w:pStyle w:val="Heading3"/>
      </w:pPr>
      <w:r>
        <w:t>Título de nível 3</w:t>
      </w:r>
    </w:p>
    <w:p>
      <w:pPr>
        <w:pStyle w:val="Heading4"/>
      </w:pPr>
      <w:r>
        <w:t>Título de nível 4</w:t>
      </w:r>
    </w:p>
    <w:p>
      <w:r>
        <w:t>Fim do documento.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t>Nota vinda de dentro da tabela.</w:t>
      </w:r>
    </w:p>
  </w:footnote>
  <w:footnote w:id="2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t xml:space="preserve">Esta é a primeira nota de rodapé, com </w:t>
      </w:r>
      <w:r>
        <w:rPr>
          <w:b/>
        </w:rPr>
        <w:t>negrito</w:t>
      </w:r>
      <w:r>
        <w:t>.</w:t>
      </w:r>
    </w:p>
  </w:footnote>
  <w:footnote w:id="3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t xml:space="preserve">Nota com link: </w:t>
      </w:r>
      <w:hyperlink r:id="rId1">
        <w:r>
          <w:rPr>
            <w:color w:val="0563C1"/>
            <w:u w:val="single"/>
          </w:rPr>
          <w:t>Python</w:t>
        </w:r>
      </w:hyperlink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◦"/>
      <w:lvlJc w:val="left"/>
      <w:pPr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1">
      <w:startOverride w:val="1"/>
    </w:lvlOverride>
  </w:num>
  <w:num w:numId="13">
    <w:abstractNumId w:val="10"/>
    <w:lvlOverride w:ilvl="0">
      <w:startOverride w:val="5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eastAsia="Calibri" w:cs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Calibri" w:hAnsi="Calibri" w:eastAsia="Calibri" w:cs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="Calibri" w:hAnsi="Calibri" w:eastAsia="Calibri" w:cs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basedOn w:val="Normal"/>
    <w:pPr>
      <w:spacing w:after="0" w:line="240" w:lineRule="auto"/>
    </w:pPr>
    <w:rPr>
      <w:sz w:val="18"/>
    </w:rPr>
  </w:style>
  <w:style w:type="character" w:customStyle="1" w:styleId="FootnoteReference">
    <w:name w:val="Footnote 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hyperlink" Target="https://www.fatecsp.br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www.pyth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 do Conversor</dc:title>
  <dc:subject/>
  <dc:creator>LinuxMG</dc:creator>
  <cp:keywords/>
  <dc:description/>
  <cp:lastModifiedBy>LinuxMG</cp:lastModifiedBy>
  <cp:revision>1</cp:revision>
  <dcterms:created xsi:type="dcterms:W3CDTF">2026-10-07T22:47:52Z</dcterms:created>
  <dcterms:modified xsi:type="dcterms:W3CDTF">2026-10-07T22:47:52Z</dcterms:modified>
  <cp:category/>
</cp:coreProperties>
</file>