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shd w:fill="D8FF3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A0A0A"/>
                <w:sz w:val="16"/>
              </w:rPr>
              <w:t>FINAL DEVELOPER HANDOFF</w:t>
            </w:r>
          </w:p>
        </w:tc>
      </w:tr>
    </w:tbl>
    <w:p>
      <w:pPr>
        <w:spacing w:after="80" w:before="0" w:line="276" w:lineRule="auto"/>
      </w:pPr>
      <w:r>
        <w:rPr>
          <w:rFonts w:ascii="Noto Sans" w:hAnsi="Noto Sans"/>
          <w:b/>
          <w:color w:val="0A0A0A"/>
          <w:sz w:val="28"/>
        </w:rPr>
        <w:t>KEPOTRET</w:t>
      </w:r>
    </w:p>
    <w:p>
      <w:pPr>
        <w:spacing w:after="160"/>
      </w:pPr>
      <w:r>
        <w:rPr>
          <w:rFonts w:ascii="Noto Sans" w:hAnsi="Noto Sans"/>
          <w:b/>
          <w:color w:val="0A0A0A"/>
          <w:sz w:val="64"/>
        </w:rPr>
        <w:t>Frontend Handoff Package</w:t>
      </w:r>
    </w:p>
    <w:p>
      <w:pPr>
        <w:spacing w:after="240" w:before="0" w:line="276" w:lineRule="auto"/>
      </w:pPr>
      <w:r>
        <w:rPr>
          <w:rFonts w:ascii="Noto Sans" w:hAnsi="Noto Sans"/>
          <w:b w:val="0"/>
          <w:color w:val="6B6B6B"/>
          <w:sz w:val="22"/>
        </w:rPr>
        <w:t>Design freeze, exact content baseline, visual system, responsive behavior, theme/i18n requirements, interaction contract, and frontend acceptance criteria.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shd w:fill="D8FF3D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A0A0A"/>
                <w:sz w:val="20"/>
              </w:rPr>
              <w:t>STATUS</w:t>
              <w:br/>
            </w:r>
            <w:r>
              <w:rPr>
                <w:rFonts w:ascii="Noto Sans" w:hAnsi="Noto Sans"/>
                <w:b/>
                <w:color w:val="0A0A0A"/>
                <w:sz w:val="19"/>
              </w:rPr>
              <w:t>H01 LANDING PAGE — LOCKED / READY FOR FRONTEND IMPLEMENTATION</w:t>
            </w:r>
          </w:p>
        </w:tc>
      </w:tr>
    </w:tbl>
    <w:p>
      <w:pPr>
        <w:spacing w:after="0"/>
      </w:pPr>
    </w:p>
    <w:p>
      <w:pPr>
        <w:spacing w:after="120" w:before="200" w:line="276" w:lineRule="auto"/>
      </w:pPr>
      <w:r>
        <w:rPr>
          <w:rFonts w:ascii="Noto Sans" w:hAnsi="Noto Sans"/>
          <w:b w:val="0"/>
          <w:color w:val="6B6B6B"/>
          <w:sz w:val="18"/>
        </w:rPr>
        <w:t>Version 1.0 LOCKED  •  24 September 2026</w:t>
      </w:r>
    </w:p>
    <w:p>
      <w:pPr>
        <w:spacing w:after="120" w:before="0" w:line="276" w:lineRule="auto"/>
      </w:pPr>
      <w:r>
        <w:rPr>
          <w:rFonts w:ascii="Noto Sans" w:hAnsi="Noto Sans"/>
          <w:b/>
          <w:color w:val="0A0A0A"/>
          <w:sz w:val="22"/>
        </w:rPr>
        <w:t>Primary visual direction: Clean Product, Human Energy</w:t>
      </w:r>
    </w:p>
    <w:p>
      <w:pPr>
        <w:spacing w:after="120" w:before="0" w:line="276" w:lineRule="auto"/>
      </w:pPr>
      <w:r>
        <w:rPr>
          <w:rFonts w:ascii="Noto Sans" w:hAnsi="Noto Sans"/>
          <w:b w:val="0"/>
          <w:color w:val="0A0A0A"/>
          <w:sz w:val="20"/>
        </w:rPr>
        <w:t>Default experience: Light mode + Bahasa Indonesia</w:t>
      </w:r>
    </w:p>
    <w:p>
      <w:pPr>
        <w:spacing w:after="120" w:before="0" w:line="276" w:lineRule="auto"/>
      </w:pPr>
      <w:r>
        <w:rPr>
          <w:rFonts w:ascii="Noto Sans" w:hAnsi="Noto Sans"/>
          <w:b w:val="0"/>
          <w:color w:val="0A0A0A"/>
          <w:sz w:val="20"/>
        </w:rPr>
        <w:t>Supported experience: Light/Dark + ID/EN</w:t>
      </w:r>
    </w:p>
    <w:p>
      <w:pPr/>
      <w:r>
        <w:rPr>
          <w:b w:val="0"/>
          <w:sz w:val="20"/>
        </w:rPr>
        <w:t>Frontend implementation target: Next.js 16.3.6 + React 19.3.0 + TypeScript</w:t>
      </w:r>
    </w:p>
    <w:p>
      <w:pPr>
        <w:spacing w:after="120" w:before="0" w:line="276" w:lineRule="auto"/>
      </w:pPr>
      <w:r>
        <w:rPr>
          <w:rFonts w:ascii="Noto Sans" w:hAnsi="Noto Sans"/>
          <w:b/>
          <w:color w:val="0A0A0A"/>
          <w:sz w:val="20"/>
        </w:rPr>
        <w:t>Maximum album capacity: 10,000 photos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1. Status, scope, and authority</w:t>
      </w:r>
    </w:p>
    <w:p>
      <w:pPr>
        <w:spacing w:after="120" w:before="0" w:line="276" w:lineRule="auto"/>
      </w:pPr>
      <w:r>
        <w:rPr>
          <w:rFonts w:ascii="Noto Sans" w:hAnsi="Noto Sans"/>
          <w:b w:val="0"/>
          <w:color w:val="0A0A0A"/>
          <w:sz w:val="21"/>
        </w:rPr>
        <w:t>Dokumen ini adalah implementation source of truth untuk H01 Landing Page setelah review Brand Identity, H01 copywriting handoff, UI elements, component visual direction, dan visual mockup final.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shd w:fill="F2F2F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A0A0A"/>
                <w:sz w:val="20"/>
              </w:rPr>
              <w:t>IMPORTANT</w:t>
              <w:br/>
            </w:r>
            <w:r>
              <w:rPr>
                <w:rFonts w:ascii="Noto Sans" w:hAnsi="Noto Sans"/>
                <w:b/>
                <w:color w:val="0A0A0A"/>
                <w:sz w:val="19"/>
              </w:rPr>
              <w:t>PNG mockup adalah visual reference, bukan sumber copy, ukuran pixel, icon asset, atau product behavior. Jika ada teks kecil/ikon/detail hasil image-generation yang berbeda dengan dokumen ini, dokumen ini yang authoritative.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30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6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Product behavior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Tetap mengikuti PRD/API/business rules yang sudah locked. UI tidak boleh memperkenalkan capability yang tidak ada.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H01 content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Exact Bahasa Indonesia pada dokumen ini adalah baseline implementasi H01.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Visual reference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Kepotret_H01_Approved_Visual_Reference_v1_0.png. Gunakan untuk composition, density, hierarchy, dan visual feel; jangan pixel-trace.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Brand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Ink + White + Lime; Space Grotesk untuk display/headline; Plus Jakarta Sans untuk body/UI.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Default state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Light mode dan Bahasa Indonesia.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Alternate state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Dark mode dan English harus didukung melalui semantic tokens dan externalized content.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Capacity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30 / 100 / 250 / 500 / 700 / 1K / 10K; maximum 10,000 photos — LOCKED.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Length discipline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H01 tidak boleh menjadi endless-scroll showcase. Setiap section harus menyampaikan alasan baru untuk conversion atau dipadatkan.</w:t>
            </w:r>
          </w:p>
        </w:tc>
      </w:tr>
      <w:tr>
        <w:tc>
          <w:tcPr>
            <w:tcW w:type="dxa" w:w="5018"/>
            <w:vAlign w:val="center"/>
          </w:tcPr>
          <w:p>
            <w:r>
              <w:t>Frontend target</w:t>
            </w:r>
          </w:p>
        </w:tc>
        <w:tc>
          <w:tcPr>
            <w:tcW w:type="dxa" w:w="5018"/>
            <w:vAlign w:val="center"/>
          </w:tcPr>
          <w:p>
            <w:r>
              <w:t>Next.js + React + TypeScript. This handoff does not lock a styling library; follow the project frontend codebase standard.</w:t>
            </w:r>
          </w:p>
        </w:tc>
      </w:tr>
    </w:tbl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1.1 Change overrides from earlier H01 handoff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Header WAJIB menampilkan theme control (Light/Dark) dan language control (ID/EN). Light + ID adalah default.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Differentiation headline diubah menjadi “Ajak lebih banyak orang ikut menangkap momen.”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Feature “Pilih gaya foto dengan filter” DIHAPUS. Diganti “Kendalikan foto yang tampil”.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Maximum capacity tetap 10,000 photos. Keputusan 5,000 sebelumnya dibatalkan dan tidak boleh digunakan.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Visual direction disederhanakan: lebih banyak whitespace, lebih sedikit doodle/rotation/shadow, actual product UI lebih diutamakan daripada fake mockup.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Section rhythm mengikuti high-fidelity visual architecture di dokumen ini, bukan treatment penuh/ramai pada exploration awal.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2. Approved visual reference</w:t>
      </w:r>
    </w:p>
    <w:p>
      <w:pPr>
        <w:spacing w:after="120" w:before="0" w:line="276" w:lineRule="auto"/>
      </w:pPr>
      <w:r>
        <w:rPr>
          <w:rFonts w:ascii="Noto Sans" w:hAnsi="Noto Sans"/>
          <w:b w:val="0"/>
          <w:color w:val="6B6B6B"/>
          <w:sz w:val="20"/>
        </w:rPr>
        <w:t>Visual di bawah adalah full-page reference yang disetujui sebagai arah implementasi H01. Developer wajib menggunakan dokumen ini untuk exact text dan behavior.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7129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potret_H01_Approved_Visual_Reference_v1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129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Noto Sans" w:hAnsi="Noto Sans"/>
          <w:b w:val="0"/>
          <w:color w:val="6B6B6B"/>
          <w:sz w:val="16"/>
        </w:rPr>
        <w:t>Figure 1 — H01 approved visual reference (desktop full-page composition). Full-resolution PNG disertakan sebagai file terpisah.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3. Design foundation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3.1 Visual philosophy</w:t>
      </w:r>
    </w:p>
    <w:p>
      <w:pPr>
        <w:spacing w:after="80" w:before="0" w:line="276" w:lineRule="auto"/>
      </w:pPr>
      <w:r>
        <w:rPr>
          <w:rFonts w:ascii="Noto Sans" w:hAnsi="Noto Sans"/>
          <w:b/>
          <w:color w:val="0A0A0A"/>
          <w:sz w:val="38"/>
        </w:rPr>
        <w:t>Clean Product, Human Energy</w:t>
      </w:r>
    </w:p>
    <w:p>
      <w:pPr>
        <w:spacing w:after="120" w:before="0" w:line="276" w:lineRule="auto"/>
      </w:pPr>
      <w:r>
        <w:rPr>
          <w:rFonts w:ascii="Noto Sans" w:hAnsi="Noto Sans"/>
          <w:b w:val="0"/>
          <w:color w:val="6B6B6B"/>
          <w:sz w:val="21"/>
        </w:rPr>
        <w:t>Clean by default. Brand hadir melalui signal yang purposeful, bukan dekorasi berulang. Photography memberi human/event energy; product UI memberi bukti nyata bahwa Kepotret adalah digital product.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Clean by default — whitespace, strong type, simple grid, restrained surfaces.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Brand through signals, not decoration — Lime, Moment Dot, Capture Corners, dan Photo Stack digunakan selektif.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Show the actual product — QR, camera, gallery, pricing, dan control UI harus berasal dari komponen yang memang akan diimplementasikan.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No AI-generative aesthetic — hindari perfect/over-staged imagery, banyak floating card, excessive doodle, glow, atau device mockup yang tidak konsisten.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3.2 Core color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30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66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Brand / ink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#0A0A0A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Brand / lime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#D8FF3D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Neutral / white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#FFFFFF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Neutral / soft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#F2F2F2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Neutral / mid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#6B6B6B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Neutral / border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#D9D9D9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Semantic / success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#15803D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Semantic / warning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#B45309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Semantic / error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#B91C1C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Semantic / info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#1D4ED8</w:t>
            </w:r>
          </w:p>
        </w:tc>
      </w:tr>
    </w:tbl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3.3 Semantic theme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30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Semantic role</w:t>
            </w:r>
          </w:p>
        </w:tc>
        <w:tc>
          <w:tcPr>
            <w:tcW w:type="dxa" w:w="66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Light / Dark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surface.page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Light #FFFFFF  |  Dark #0A0A0A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surface.subtle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Light #F7F7F5  |  Dark #141414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surface.raised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Light #FFFFFF  |  Dark #1C1C1C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text.primary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Light #0A0A0A  |  Dark #FFFFFF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text.secondary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Light #6B6B6B  |  Dark #B3B3B3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border.default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Light #D9D9D9  |  Dark #2D2D2D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action.primary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Background #D8FF3D; foreground #0A0A0A in both themes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focus.ring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High-contrast ring; do not rely on Lime alone on light surface.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shd w:fill="F2F2F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A0A0A"/>
                <w:sz w:val="20"/>
              </w:rPr>
              <w:t>THEME RULE</w:t>
              <w:br/>
            </w:r>
            <w:r>
              <w:rPr>
                <w:rFonts w:ascii="Noto Sans" w:hAnsi="Noto Sans"/>
                <w:b/>
                <w:color w:val="0A0A0A"/>
                <w:sz w:val="19"/>
              </w:rPr>
              <w:t>Default tetap Light walaupun operating system user berada di Dark Mode. Setelah user memilih theme, preference dipertahankan pada device/browser. Photography tidak diberi dark filter.</w:t>
            </w:r>
          </w:p>
        </w:tc>
      </w:tr>
    </w:tbl>
    <w:p>
      <w:pPr>
        <w:spacing w:after="0"/>
      </w:pPr>
    </w:p>
    <w:p>
      <w:r/>
    </w:p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4. Typography, layout, spacing, and depth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4.1 Production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30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66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Display / headline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Space Grotesk, primarily 600–700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Body / UI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Plus Jakarta Sans, 400 / 500 / 600 / 700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Logo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Official C2 Captured Moment artwork only. Never reconstruct with typeface.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Case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Sentence case default; uppercase only for compact eyebrow/labels.</w:t>
            </w:r>
          </w:p>
        </w:tc>
      </w:tr>
    </w:tbl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4.2 Recommended type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30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Text role</w:t>
            </w:r>
          </w:p>
        </w:tc>
        <w:tc>
          <w:tcPr>
            <w:tcW w:type="dxa" w:w="66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Suggested size / line-height (px)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Display XL / Hero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Desktop 64/68; Mobile 40/44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Display L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Desktop 48/52; Mobile 34/39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H2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Desktop 40/46; Mobile 30/36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H3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Desktop 28/34; Mobile 24/30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H4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Desktop 22/28; Mobile 20/26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Body L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Desktop 18/28; Mobile 17/27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Body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16/24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Body 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14/21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Caption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12/18</w:t>
            </w:r>
          </w:p>
        </w:tc>
      </w:tr>
    </w:tbl>
    <w:p>
      <w:pPr>
        <w:spacing w:after="120" w:before="0" w:line="276" w:lineRule="auto"/>
      </w:pPr>
      <w:r>
        <w:rPr>
          <w:rFonts w:ascii="Noto Sans" w:hAnsi="Noto Sans"/>
          <w:b w:val="0"/>
          <w:color w:val="6B6B6B"/>
          <w:sz w:val="18"/>
        </w:rPr>
        <w:t>Developer boleh melakukan minor optical tuning per breakpoint selama hierarchy tetap sama dan tidak mengubah visual density secara signifikan.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4.3 Grid and spacing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30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6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Desktop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12 columns; max content width 1200–1240px; page gutter 24–32px.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Tablet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8 columns; gutter 20–24px.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Mobile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4 columns; gutter 16–20px.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Spacing scale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4 / 8 / 12 / 16 / 24 / 32 / 40 / 48 / 64 / 80 / 96 / 120.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Section spacing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Desktop ±96–128px; Mobile ±64–88px. Compress if section becomes unnecessarily tall.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Reading width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Long supporting copy generally max 560–620px.</w:t>
            </w:r>
          </w:p>
        </w:tc>
      </w:tr>
    </w:tbl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4.4 Radius, border, elevation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30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6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Product button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10–12px radius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Input / field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10px radius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Card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12–16px radius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Modal / large surface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16–20px radius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Marketing feature panel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20–24px radius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Chip / badge / filter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Pill / 999px allowed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Border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1px default; prefer border + surface contrast over shadow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Shadow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Subtle only for dropdown, popover, modal, selected/floating layers. No glow/neumorphism.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shd w:fill="D8FF3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A0A0A"/>
                <w:sz w:val="16"/>
              </w:rPr>
              <w:t>H00 / WHITE / LOW EXPRESSION</w:t>
            </w:r>
          </w:p>
        </w:tc>
      </w:tr>
    </w:tbl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Header / Primary Navigation</w:t>
      </w:r>
    </w:p>
    <w:p>
      <w:pPr>
        <w:spacing w:after="160" w:before="0" w:line="276" w:lineRule="auto"/>
      </w:pPr>
      <w:r>
        <w:rPr>
          <w:rFonts w:ascii="Noto Sans" w:hAnsi="Noto Sans"/>
          <w:b w:val="0"/>
          <w:color w:val="6B6B6B"/>
          <w:sz w:val="21"/>
        </w:rPr>
        <w:t>Orient visitor, expose core anchors, preserve theme/language control, and keep the primary conversion discoverable.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Content / exact UI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Copy / value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Logo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Kepotret C2 Captured Moment artwork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Navigation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Cara Kerja · Harga · FAQ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Returning user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Masuk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Language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ID / EN; default ID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Theme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Light / Dark icon toggle; default Light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Primary CTA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Buat Album Gratis</w:t>
            </w:r>
          </w:p>
        </w:tc>
      </w:tr>
    </w:tbl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Visual composition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Desktop header clean, 72–80px target height, white surface in default theme.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Use semantic surface tokens; dark mode must be a true alternate theme, not a color inversion hack.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No pill around every navigation item. Theme and language controls compact; CTA is the dominant action.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Use original logo asset; never use text as a logo substitute.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Preferred implementation: sticky top header with subtle border/elevation only after scrolling.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Interaction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Cara Kerja, Harga, FAQ anchor-scroll to sections.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ID/EN opens a small language menu. Selecting a language updates externalized copy and persists preference.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Theme toggle updates semantic CSS variables and persists preference; default remains Light.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“Masuk” enters Host login flow; CTA enters create album / sign-in flow according to product routing.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Mobile / responsive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Mobile visible controls: Logo + compact language control + theme icon + menu icon.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Primary CTA lives at the top of the drawer/menu and remains visible immediately in Hero; do not squeeze a long CTA into the mobile header.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Navigation drawer includes Cara Kerja, Harga, FAQ, Masuk, and Buat Album Gratis.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Minimum touch target 44px.</w:t>
      </w:r>
    </w:p>
    <w:p>
      <w:r>
        <w:br w:type="page"/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shd w:fill="D8FF3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A0A0A"/>
                <w:sz w:val="16"/>
              </w:rPr>
              <w:t>01 / WHITE / MEDIUM EXPRESSION</w:t>
            </w:r>
          </w:p>
        </w:tc>
      </w:tr>
    </w:tbl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Hero / Main Conversion</w:t>
      </w:r>
    </w:p>
    <w:p>
      <w:pPr>
        <w:spacing w:after="160" w:before="0" w:line="276" w:lineRule="auto"/>
      </w:pPr>
      <w:r>
        <w:rPr>
          <w:rFonts w:ascii="Noto Sans" w:hAnsi="Noto Sans"/>
          <w:b w:val="0"/>
          <w:color w:val="6B6B6B"/>
          <w:sz w:val="21"/>
        </w:rPr>
        <w:t>Within a few seconds, explain what Kepotret is, how participation works, the value, and the first action.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Content / exact UI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Copy / value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Eyebrow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DOKUMENTASI PARTISIPATIF UNTUK BERBAGAI ACARA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Headline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Satu momen. Banyak sudut.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Supporting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Jangan sampai momen dari sudut lain terlewat. Bisa jadi, justru di sanalah bagian paling istimewa tersimpan. Bagikan satu QR dan biarkan orang-orang di acara ikut motret langsung dari HP.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Proof 1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Foto terkumpul dalam satu album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Proof 2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Tanpa install aplikasi &amp; tanpa akun peserta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Primary CTA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Buat Album Gratis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Secondary CTA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Lihat Cara Kerjanya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Microcopy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Mulai Gratis</w:t>
            </w:r>
          </w:p>
        </w:tc>
      </w:tr>
    </w:tbl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Visual composition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Desktop split approximately 47% copy / 53% visual.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Right-side composition: one actual product/mobile anchor + maximum 2–3 candid event photos. Do not recreate the noisy 4–5 card collage from early exploration.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Hero stays bright/light. Lime appears as Moment Dot / CTA / small capture signal, not as a long headline color.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Use multi-event imagery; do not make wedding visually dominant.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No decorative handwriting is required. If used, maximum one tiny optional annotation and it must not carry essential information.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Mobile / responsive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Order: eyebrow → headline → supporting copy → proof → CTA → visual.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CTA must appear before a large visual consumes vertical space.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One-column composition; device/photo cluster simplified.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No auto-carousel. Respect reduced motion.</w:t>
      </w:r>
    </w:p>
    <w:p>
      <w:r>
        <w:br w:type="page"/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shd w:fill="D8FF3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A0A0A"/>
                <w:sz w:val="16"/>
              </w:rPr>
              <w:t>02 / INK / MEDIUM EXPRESSION</w:t>
            </w:r>
          </w:p>
        </w:tc>
      </w:tr>
    </w:tbl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Cara Kerja</w:t>
      </w:r>
    </w:p>
    <w:p>
      <w:pPr>
        <w:spacing w:after="160" w:before="0" w:line="276" w:lineRule="auto"/>
      </w:pPr>
      <w:r>
        <w:rPr>
          <w:rFonts w:ascii="Noto Sans" w:hAnsi="Noto Sans"/>
          <w:b w:val="0"/>
          <w:color w:val="6B6B6B"/>
          <w:sz w:val="21"/>
        </w:rPr>
        <w:t>Remove perceived complexity through a 3-step Host journey.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Content / exact UI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Copy / value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Eyebrow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CARA KERJA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Headline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Dari QR ke album dalam 3 langkah.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Supporting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Kamu siapkan albumnya. Peserta tinggal scan &amp; motret, lalu momen dari berbagai sudut mulai terkumpul.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Step 01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Buat album — Siapkan album untuk acaramu dan atur kebutuhan dokumentasinya.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Step 02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Bagikan QR — Tampilkan QR di lokasi acara atau bagikan link kepada orang-orang yang ikut.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Step 03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Momen terkumpul — Mereka scan QR, motret langsung dari HP, lalu fotonya masuk ke album yang sama.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CTA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Lihat Cara Kerja Lengkap →</w:t>
            </w:r>
          </w:p>
        </w:tc>
      </w:tr>
    </w:tbl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Visual composition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Dark/Ink section is the first strong contrast moment.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Desktop: horizontal story 01 Album Setup → 02 QR → 03 Gallery result.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Use actual/representative product fragments; no generic SaaS feature cards.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Numbers are large but subdued; Lime highlights only the active/capture signal.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Keep this section compact — it is a teaser, not the full H02 explanation.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Mobile / responsive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Stack 01/02/03 vertically with clear directional continuity.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Do not place three giant device mockups; use cropped UI states.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Keep each step concise and scannable.</w:t>
      </w:r>
    </w:p>
    <w:p>
      <w:r>
        <w:br w:type="page"/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shd w:fill="D8FF3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A0A0A"/>
                <w:sz w:val="16"/>
              </w:rPr>
              <w:t>03 / WHITE / LOW–MEDIUM EXPRESSION</w:t>
            </w:r>
          </w:p>
        </w:tc>
      </w:tr>
    </w:tbl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Benefits / Value Proposition</w:t>
      </w:r>
    </w:p>
    <w:p>
      <w:pPr>
        <w:spacing w:after="160" w:before="0" w:line="276" w:lineRule="auto"/>
      </w:pPr>
      <w:r>
        <w:rPr>
          <w:rFonts w:ascii="Noto Sans" w:hAnsi="Noto Sans"/>
          <w:b w:val="0"/>
          <w:color w:val="6B6B6B"/>
          <w:sz w:val="21"/>
        </w:rPr>
        <w:t>Explain Host outcomes instead of turning product capabilities into a generic feature grid.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Content / exact UI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Copy / value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Eyebrow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KENAPA KEPOTRET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Headline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Lebih banyak sudut. Lebih sedikit repot.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Supporting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Dokumentasi acara jadi lebih hidup ketika lebih banyak orang ikut menangkap momennya. Kepotret membantu semuanya terkumpul tanpa bikin prosesnya jadi ribet.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Benefit 01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Capture momen dari lebih banyak sudut — Setiap orang melihat hal yang berbeda. Kumpulkan berbagai perspektif itu dalam satu album.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Benefit 02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Nggak perlu minta foto satu-satu — Foto yang berhasil dikirim langsung terkumpul di album acara, jadi kamu tidak perlu mengejar kiriman satu per satu.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Benefit 03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Mudah untuk ikut — Peserta cukup scan QR dan motret langsung dari HP, tanpa perlu install aplikasi atau membuat akun.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Benefit 04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Kendali tetap di kamu — Atur kapan peserta bisa motret, kapan galeri dibuka, serta kelola foto dan akses album sesuai kebutuhan acara.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Benefit 05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Lebih fleksibel untuk acara ramai — Jumlah peserta tidak dibatasi paket. Pilih kapasitas foto sesuai kebutuhan, jadi kamu tidak perlu menyesuaikan paket hanya karena jumlah orang yang ikut bertambah.</w:t>
            </w:r>
          </w:p>
        </w:tc>
      </w:tr>
    </w:tbl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Visual composition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Use the approved “Section 3 from concept 1” structure: main benefit receives larger visual weight; supporting benefits are lightweight modules.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Main visual: 2–3 authentic candid photos / controlled Photo Stack, not a dense collage.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Supporting modules: small icon + title + concise body. Avoid card shadow unless needed for hierarchy.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No CTA in this section; avoid over-buttoning.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Whitespace is part of the visual system. Do not try to fill every empty area.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Mobile / responsive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Main benefit first, then simplified supporting list/modules.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Photo Stack maximum two images where space is narrow.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Avoid 5 identical stacked cards.</w:t>
      </w:r>
    </w:p>
    <w:p>
      <w:r>
        <w:br w:type="page"/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shd w:fill="D8FF3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A0A0A"/>
                <w:sz w:val="16"/>
              </w:rPr>
              <w:t>04 / WHITE + LIME PANEL / MEDIUM EXPRESSION</w:t>
            </w:r>
          </w:p>
        </w:tc>
      </w:tr>
    </w:tbl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Differentiation / Why Kepotret</w:t>
      </w:r>
    </w:p>
    <w:p>
      <w:pPr>
        <w:spacing w:after="160" w:before="0" w:line="276" w:lineRule="auto"/>
      </w:pPr>
      <w:r>
        <w:rPr>
          <w:rFonts w:ascii="Noto Sans" w:hAnsi="Noto Sans"/>
          <w:b w:val="0"/>
          <w:color w:val="6B6B6B"/>
          <w:sz w:val="21"/>
        </w:rPr>
        <w:t>Make the participant-independent package model memorable and support it with high-value product proof.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Content / exact UI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Copy / value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Eyebrow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KENAPA KEPOTRET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Headline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Ajak lebih banyak orang ikut menangkap momen.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Supporting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Jumlah peserta tidak menentukan paket Kepotret. Kamu cukup memilih kapasitas foto sesuai kebutuhan acara, lalu ajak sebanyak mungkin orang untuk ikut menangkap momennya.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Proof 01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Unduh banyak foto sekaligus — Butuh semua hasil dokumentasi? Host bisa menyiapkan dan mengunduh album dalam bentuk ZIP agar lebih praktis.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Proof 02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Kendalikan foto yang tampil — Host dapat mengatur moderasi, menyembunyikan foto, dan mengelola foto yang ditampilkan kepada peserta.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Proof 03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Ajak WO/EO bantu kelola album — Bagikan pekerjaan setup, moderasi, atau ekspor kepada WO/EO dengan izin yang kamu tentukan, supaya kamu bisa lebih fokus menikmati rangkaian acara.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Proof 04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Bagikan lewat WhatsApp dengan mudah — Setelah foto dapat dilihat, bagikan link foto melalui WhatsApp atau salin link untuk dikirim ke siapa pun.</w:t>
            </w:r>
          </w:p>
        </w:tc>
      </w:tr>
    </w:tbl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Visual composition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Do not use a full viewport of Lime. Place a large Lime statement panel inside a white section.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Typography + proof modules are the visual. No event photography or device mockup required.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Use four concise proof blocks; icons line-based and consistent.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WhatsApp treatment must represent link sharing, not automatic file delivery.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No filter capability. Filter is not part of H01 V1 product promise.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Mobile / responsive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Lime panel sits within normal mobile gutter and stacks content vertically.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Proof blocks become simple rows; no nested card-on-card treatment.</w:t>
      </w:r>
    </w:p>
    <w:p>
      <w:r>
        <w:br w:type="page"/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shd w:fill="D8FF3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A0A0A"/>
                <w:sz w:val="16"/>
              </w:rPr>
              <w:t>05 / WHITE / PHOTOGRAPHY-LED</w:t>
            </w:r>
          </w:p>
        </w:tc>
      </w:tr>
    </w:tbl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Use Cases / Untuk Berbagai Acara</w:t>
      </w:r>
    </w:p>
    <w:p>
      <w:pPr>
        <w:spacing w:after="160" w:before="0" w:line="276" w:lineRule="auto"/>
      </w:pPr>
      <w:r>
        <w:rPr>
          <w:rFonts w:ascii="Noto Sans" w:hAnsi="Noto Sans"/>
          <w:b w:val="0"/>
          <w:color w:val="6B6B6B"/>
          <w:sz w:val="21"/>
        </w:rPr>
        <w:t>Demonstrate breadth and help visitors find a relevant event context.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Content / exact UI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Copy / value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Eyebrow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UNTUK BERBAGAI ACARA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Headline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Setiap acara punya momen dari sudut yang berbeda.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Supporting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Dari acara pribadi sampai kegiatan besar, Kepotret membantu mengumpulkan perspektif orang-orang yang ikut hadir dalam satu album.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01 Wedding &amp; Celebration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Tangkap bukan hanya momen utama, tapi juga ekspresi keluarga, teman, dan suasana yang mungkin tidak terlihat dari satu kamera saja.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02 Birthday &amp; Personal Event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Kumpulkan momen spontan dari orang-orang terdekat tanpa harus meminta kiriman foto satu per satu.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03 Community &amp; Gathering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Biar anggota dan peserta ikut mendokumentasikan kegiatan dari sudut mereka masing-masing.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04 Sport &amp; Competition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Abadikan aksi, supporter, suasana venue, hingga momen setelah pertandingan dari lebih banyak perspektif.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05 Corporate &amp; Organization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Lengkapi dokumentasi town hall, gathering, offsite, atau aktivitas tim dengan kontribusi dari lebih banyak peserta.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06 Trip &amp; Travel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Satu perjalanan, banyak cerita. Kumpulkan momen dari teman seperjalanan tanpa foto tercecer di banyak HP.</w:t>
            </w:r>
          </w:p>
        </w:tc>
      </w:tr>
    </w:tbl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Visual composition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Photography-led editorial grid. Base grid stays aligned even if image aspect ratios vary.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Photography is more important than icons; do not add large category icons on top of every card.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No category may visually dominate. Wedding is one category among six.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Use candid, culturally relevant, human images. Avoid overly perfect/AI-looking symmetry and stock clichés.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Slight crop/tilt allowed selectively; avoid a random masonry look.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Mobile / responsive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Prefer a compact 2-column grid where width allows; single-column on narrow devices.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Avoid horizontal-only carousels as the sole access to categories.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Description can wrap naturally; do not hard-code height based on Indonesian copy.</w:t>
      </w:r>
    </w:p>
    <w:p>
      <w:r>
        <w:br w:type="page"/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shd w:fill="D8FF3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A0A0A"/>
                <w:sz w:val="16"/>
              </w:rPr>
              <w:t>06 / INK / MEDIUM EXPRESSION</w:t>
            </w:r>
          </w:p>
        </w:tc>
      </w:tr>
    </w:tbl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Guest Experience</w:t>
      </w:r>
    </w:p>
    <w:p>
      <w:pPr>
        <w:spacing w:after="160" w:before="0" w:line="276" w:lineRule="auto"/>
      </w:pPr>
      <w:r>
        <w:rPr>
          <w:rFonts w:ascii="Noto Sans" w:hAnsi="Noto Sans"/>
          <w:b w:val="0"/>
          <w:color w:val="6B6B6B"/>
          <w:sz w:val="21"/>
        </w:rPr>
        <w:t>Answer the Host objection: “Will participants understand and use it easily?”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Content / exact UI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Copy / value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Eyebrow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PENGALAMAN PESERTA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Headline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Untuk peserta, sesederhana scan lalu motret.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Supporting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Peserta tidak perlu install aplikasi atau membuat akun. Cukup scan QR, isi nama, izinkan kamera, lalu mulai motret langsung dari HP.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Step 01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Scan QR — Buka QR atau link acara langsung dari HP.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Step 02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Isi nama — Masukkan nama yang akan tampil sebagai label pada foto.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Step 03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Izinkan kamera — Beri akses kamera agar bisa mulai memotret.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Step 04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Motret &amp; gunakan foto — Ambil foto, lihat hasilnya, lalu pilih gunakan foto atau ambil ulang.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Badge 01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Tanpa install aplikasi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Badge 02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Tanpa akun peserta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CTA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Lihat Cara Kerja Lengkap →</w:t>
            </w:r>
          </w:p>
        </w:tc>
      </w:tr>
    </w:tbl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Visual composition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Second strong dark contrast moment.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Preferred desktop concept: one phone/product anchor with progressive states, rather than four oversized iPhone renders.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If static implementation uses four states, crop the actual UI screens and keep device chrome light/minimal.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Guest UI must show the real flow: QR → name → permission → capture/preview. No gallery upload and no video selector.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Branding on camera UI is minimal/function-first.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Mobile / responsive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Stack states as a short vertical journey; do not let device frames dominate page height.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Keep badges concise and secondary.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Ensure browser-camera permission visuals do not imply a native app.</w:t>
      </w:r>
    </w:p>
    <w:p>
      <w:r>
        <w:br w:type="page"/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shd w:fill="D8FF3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A0A0A"/>
                <w:sz w:val="16"/>
              </w:rPr>
              <w:t>07 / WHITE / LOW–MEDIUM EXPRESSION</w:t>
            </w:r>
          </w:p>
        </w:tc>
      </w:tr>
    </w:tbl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Harga / Interactive Pricing</w:t>
      </w:r>
    </w:p>
    <w:p>
      <w:pPr>
        <w:spacing w:after="160" w:before="0" w:line="276" w:lineRule="auto"/>
      </w:pPr>
      <w:r>
        <w:rPr>
          <w:rFonts w:ascii="Noto Sans" w:hAnsi="Noto Sans"/>
          <w:b w:val="0"/>
          <w:color w:val="6B6B6B"/>
          <w:sz w:val="21"/>
        </w:rPr>
        <w:t>Make photo-capacity selection clear, interactive, and distinct from participant-based pricing.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Content / exact UI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Copy / value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Eyebrow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HARGA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Headline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Pilih kapasitas sesuai kebutuhan acaramu.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Supporting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Mulai gratis dengan 30 foto. Butuh lebih banyak? Geser kapasitas dan pilih jumlah foto yang paling cocok untuk acaramu - jumlah peserta tetap tidak dibatasi paket.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Prompt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Berapa banyak momen yang ingin kamu tampung?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Stops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30 · 100 · 250 · 500 · 700 · 1K · 10K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30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30 foto = Gratis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100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100 foto = Rp100.000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250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250 foto = Rp230.000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500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500 foto = Rp450.000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700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700 foto = Rp620.000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1K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1.000 foto = Rp840.000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10K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10.000 foto = Rp1.100.000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Proof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Jumlah peserta tidak dibatasi paket. / Untuk satu album.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Dynamic CTA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30: Buat Album Gratis. Paid: Pilih [kapasitas] Foto.</w:t>
            </w:r>
          </w:p>
        </w:tc>
      </w:tr>
    </w:tbl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Visual composition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Do not use classic 6–7 pricing cards. Use one interactive configurator.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All 7 stops have equal visual spacing; they are discrete options, not a mathematically linear range.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Large numeric capacity/price hierarchy; Lime indicates active selection.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No package names such as Silver/Gold/Diamond.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10,000 is the final and maximum capacity — LOCKED.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Interaction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Every stop is keyboard/tap/click accessible.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Prefer semantic radiogroup/segmented control behavior; if a range slider is used, expose discrete values and accessible value text.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Update capacity, price, proof, and CTA immediately without page navigation.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Mobile / responsive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Mobile should prioritize tappable discrete options over a tiny drag-only slider.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Use chips/ticks/segmented controls with sufficient spacing; horizontal scrolling is acceptable only when clearly discoverable and not the only input path.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Selected capacity/price/CTA remains visible without excessive scrolling.</w:t>
      </w:r>
    </w:p>
    <w:p>
      <w:r/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shd w:fill="D8FF3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A0A0A"/>
                <w:sz w:val="16"/>
              </w:rPr>
              <w:t>08 / SOFT GREY / LOW EXPRESSION</w:t>
            </w:r>
          </w:p>
        </w:tc>
      </w:tr>
    </w:tbl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Trust / Security Teaser</w:t>
      </w:r>
    </w:p>
    <w:p>
      <w:pPr>
        <w:spacing w:after="160" w:before="0" w:line="276" w:lineRule="auto"/>
      </w:pPr>
      <w:r>
        <w:rPr>
          <w:rFonts w:ascii="Noto Sans" w:hAnsi="Noto Sans"/>
          <w:b w:val="0"/>
          <w:color w:val="6B6B6B"/>
          <w:sz w:val="21"/>
        </w:rPr>
        <w:t>Reduce risk perception without turning H01 into a technical security page.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Content / exact UI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Copy / value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Eyebrow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KENDALI &amp; KEAMANAN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Headline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Momen bersama, tetap dalam kendalimu.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Supporting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Kepotret dirancang agar partisipasi tetap mudah tanpa menghilangkan kendali Host atas album, akses, dan foto yang ditampilkan.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Trust 01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Atur siapa yang bisa melihat — Gunakan akses album sesuai kebutuhan, termasuk pilihan PIN bila diperlukan.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Trust 02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Kendalikan foto yang tampil — Host dapat mengatur moderasi, menyembunyikan foto, dan mengelola galeri sebelum foto ditampilkan kepada peserta.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Trust 03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Masa akses yang jelas — Album memiliki periode akses yang terjadwal, lengkap dengan pengingat sebelum masa akses berakhir.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CTA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Pelajari Keamanan →</w:t>
            </w:r>
          </w:p>
        </w:tc>
      </w:tr>
    </w:tbl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Visual composition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Restrained Soft Grey/light surface. It must feel calmer than Benefits and Differentiation.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Preferred desktop layout: copy ~40% left + three compact proof rows or quiet modules right.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Photography is unnecessary. If a product-control snippet is used, keep it small and real.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No absolute claims such as “100% aman” or “keamanan terbaik”.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Mobile / responsive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Stack trust points as simple rows. Do not create three tall decorative cards.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Keep CTA visible but secondary.</w:t>
      </w:r>
    </w:p>
    <w:p>
      <w:r>
        <w:br w:type="page"/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shd w:fill="D8FF3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A0A0A"/>
                <w:sz w:val="16"/>
              </w:rPr>
              <w:t>09 / WHITE / VERY LOW EXPRESSION</w:t>
            </w:r>
          </w:p>
        </w:tc>
      </w:tr>
    </w:tbl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FAQ</w:t>
      </w:r>
    </w:p>
    <w:p>
      <w:pPr>
        <w:spacing w:after="160" w:before="0" w:line="276" w:lineRule="auto"/>
      </w:pPr>
      <w:r>
        <w:rPr>
          <w:rFonts w:ascii="Noto Sans" w:hAnsi="Noto Sans"/>
          <w:b w:val="0"/>
          <w:color w:val="6B6B6B"/>
          <w:sz w:val="21"/>
        </w:rPr>
        <w:t>Resolve the objections most likely to block conversion. This is not a replacement for Help Center.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Content / exact UI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Copy / value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Eyebrow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FAQ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Headline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Masih ada yang ingin kamu pastikan?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Supporting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Ini beberapa hal yang paling sering perlu diketahui sebelum membuat album Kepotret.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Q1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Apakah peserta harus install aplikasi? — Tidak. Peserta cukup scan QR atau membuka link acara, lalu motret langsung dari HP melalui browser.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Q2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Apakah peserta harus membuat akun? — Tidak. Peserta hanya perlu mengisi nama untuk mulai bergabung dan memotret. Nama tersebut akan digunakan sebagai label pada foto.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Q3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Berapa banyak peserta yang bisa ikut? — Jumlah peserta tidak dibatasi paket. Yang kamu pilih adalah kapasitas foto untuk album.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Q4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Apakah peserta bisa mengambil foto dari galeri HP? — Tidak. Foto album Kepotret diambil langsung melalui kamera selama waktu memotret masih aktif.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Q5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Kapan foto bisa dilihat peserta? — Host memilih kapan galeri dibuka: D+1, D+3, D+5, atau D+7 setelah acara selesai. Foto yang belum diizinkan tampil tetap tidak terlihat oleh peserta.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Q6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Berapa lama album bisa diakses? — Akses normal album berlangsung hingga 30 hari setelah acara selesai. Setelah itu tersedia masa pemulihan terbatas selama 7 hari khusus untuk pemilik album sebelum media utama dihapus.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Q7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Kalau kapasitas foto hampir habis, apakah bisa ditambah? — Bisa, selama periode upgrade masih tersedia. Pembelian atau upgrade ditutup 120 menit sebelum waktu acara berakhir.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Q8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Apakah album bisa dibuat lebih privat? — Bisa. Album menggunakan akses berbasis link dan Host dapat menambahkan PIN opsional, mengatur siapa yang dapat melihat galeri, serta mengelola foto yang ditampilkan.</w:t>
            </w:r>
          </w:p>
        </w:tc>
      </w:tr>
    </w:tbl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Visual composition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Clarity-first two-column desktop: intro left, accordion right.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No photography or illustration required.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Use subtle dividers instead of individual floating cards.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Active state may use a small Lime/Moment Dot cue, not a large lime background.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Interaction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Accordion must expose aria-expanded and keyboard interaction.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One or multiple open items is an implementation choice; state must be clear and motion restrained.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Mobile / responsive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Intro followed by full-width accordion.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Question row minimum 44–48px touch target; allow copy to wrap.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No hover-only disclosure.</w:t>
      </w:r>
    </w:p>
    <w:p>
      <w:r/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shd w:fill="D8FF3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A0A0A"/>
                <w:sz w:val="16"/>
              </w:rPr>
              <w:t>10 / INK / MEDIUM EXPRESSION</w:t>
            </w:r>
          </w:p>
        </w:tc>
      </w:tr>
    </w:tbl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Final CTA</w:t>
      </w:r>
    </w:p>
    <w:p>
      <w:pPr>
        <w:spacing w:after="160" w:before="0" w:line="276" w:lineRule="auto"/>
      </w:pPr>
      <w:r>
        <w:rPr>
          <w:rFonts w:ascii="Noto Sans" w:hAnsi="Noto Sans"/>
          <w:b w:val="0"/>
          <w:color w:val="6B6B6B"/>
          <w:sz w:val="21"/>
        </w:rPr>
        <w:t>Turn understanding into action with a decisive but simple close.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Content / exact UI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Copy / value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Headline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Acara berikutnya, lihat dari lebih banyak sudut.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Supporting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Buat album Kepotret, bagikan QR, dan biarkan momen dari berbagai perspektif mulai terkumpul.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Primary CTA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Buat Album Gratis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Microcopy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Mulai Gratis</w:t>
            </w:r>
          </w:p>
        </w:tc>
      </w:tr>
    </w:tbl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Visual composition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Third and final strong dark contrast moment.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Use bold type + Lime CTA. Photography is optional; if used, maximum 2–3 small candid photos in a controlled stack.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Do not introduce new features or another long proof list.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Keep section height contained; this is a close, not a second Hero.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Mobile / responsive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Headline → supporting → CTA. If photos are used, they follow the CTA and remain compact.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shd w:fill="D8FF3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A0A0A"/>
                <w:sz w:val="16"/>
              </w:rPr>
              <w:t>FTR / WHITE / VERY LOW EXPRESSION</w:t>
            </w:r>
          </w:p>
        </w:tc>
      </w:tr>
    </w:tbl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Footer</w:t>
      </w:r>
    </w:p>
    <w:p>
      <w:pPr>
        <w:spacing w:after="160" w:before="0" w:line="276" w:lineRule="auto"/>
      </w:pPr>
      <w:r>
        <w:rPr>
          <w:rFonts w:ascii="Noto Sans" w:hAnsi="Noto Sans"/>
          <w:b w:val="0"/>
          <w:color w:val="6B6B6B"/>
          <w:sz w:val="21"/>
        </w:rPr>
        <w:t>Provide secondary navigation, support, legal, social, and a quiet brand close.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Content / exact UI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018"/>
            <w:shd w:fill="0A0A0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Copy / value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Brand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Kepotret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Brand line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Satu momen. Banyak sudut.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Descriptor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Dokumentasi partisipatif untuk berbagai acara.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Produk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Cara Kerja · Harga · FAQ · Buat Album Gratis · Masuk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Bantuan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Pusat Bantuan · Keamanan · Hubungi Kami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Legal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Kebijakan Privasi · Syarat &amp; Ketentuan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Social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Instagram · TikTok · WhatsApp</w:t>
            </w:r>
          </w:p>
        </w:tc>
      </w:tr>
      <w:t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7"/>
              </w:rPr>
              <w:t>Bottom line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7"/>
              </w:rPr>
              <w:t>© 2026 Kepotret. All rights reserved.</w:t>
            </w:r>
          </w:p>
        </w:tc>
      </w:tr>
    </w:tbl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Visual composition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Utility-first. No campaign collage, giant CTA, or heavy decoration.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Use official social links when available; do not ship dead links.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Footer may invert in Dark Mode through semantic tokens, but content hierarchy remains unchanged.</w:t>
      </w:r>
    </w:p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Mobile / responsive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Stack link groups compactly; keep tap targets accessible and avoid excessive vertical gaps.</w:t>
      </w:r>
    </w:p>
    <w:p>
      <w:r/>
    </w:p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11. Floating AI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30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6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Role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Conversion support / product help. Never positioning or Hero content.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Launcher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Butuh bantuan?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Open greeting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Hai! Ada yang ingin kamu tanyakan tentang Kepotret?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Placement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Bottom-right, clear of CTA, pricing controls, cookie/banner area, and mobile navigation.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Behavior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Do not auto-open on first load. User explicitly opens it.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Mobile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Compact launcher; must not cover sticky controls or key content.</w:t>
            </w:r>
          </w:p>
        </w:tc>
      </w:tr>
    </w:tbl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12. Photography and visual asset rules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Candid, human, spontaneous, multi-POV. Moment &gt; pose; people &gt; decoration; perspective &gt; perfect composition.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Approximate content mix may use 70–80% candid / 20–30% posed. This is an art-direction guideline, not a hard runtime rule.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Allowed imperfection: close crop, slight tilt, mild motion blur, foreground obstruction, direct flash selectively, off-center framing.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Avoid overly perfect faces/lighting/symmetry that makes imagery feel AI-generated or generic stock.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Long-term priority: proprietary real-event Kepotret photography library.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Lime belongs to surrounding UI/graphic cues; do not impose a lime filter/overlay on photos.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Use Cases must represent Wedding, Personal, Community, Sport, Corporate, and Travel with similar visual weight.</w:t>
      </w:r>
    </w:p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13. Graphic elements and 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30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6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Moment Dot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Signature cue; maximum 1–2 meaningful appearances within a viewport.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Capture Corners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Use only when capture/focus framing is contextually meaningful.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Photo Stack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Normally 2–4 photos; avoid dense collage.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Doodle / annotation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Marketing-only and extremely selective; never required for product understanding.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Motion signatures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Focus · Capture · Stack · Reveal.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Reduced motion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Respect prefers-reduced-motion; remove/shorten non-essential motion.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Prohibited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Continuous floating motion, aggressive carousel, glow-heavy effects, excessive rotated cards.</w:t>
            </w:r>
          </w:p>
        </w:tc>
      </w:tr>
    </w:tbl>
    <w:p>
      <w:r/>
    </w:p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14. Responsive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30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Breakpoint / behavior</w:t>
            </w:r>
          </w:p>
        </w:tc>
        <w:tc>
          <w:tcPr>
            <w:tcW w:type="dxa" w:w="66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Desktop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≥1024px target layout; 12-column; max content 1200–1240px.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Tablet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768–1023px; 8-column; collapse dense multi-column modules progressively.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Mobile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≤767px; 4-column / single-content flow; copy and CTA precede decorative visuals.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Touch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Minimum target 44px; 48px preferred for main controls.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Overflow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No horizontal page overflow. Intentional scrollers require clear affordance.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Section height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Do not force 100vh. Content determines height; compress decorative padding first.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Images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Responsive source sizes; lazy-load below-fold images; prioritize Hero/LCP asset.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Device UI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Cropped real product screens preferred to giant device frames on mobile.</w:t>
            </w:r>
          </w:p>
        </w:tc>
      </w:tr>
    </w:tbl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15. Localization (ID / 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shd w:fill="D8FF3D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A0A0A"/>
                <w:sz w:val="20"/>
              </w:rPr>
              <w:t>LOCKED</w:t>
              <w:br/>
            </w:r>
            <w:r>
              <w:rPr>
                <w:rFonts w:ascii="Noto Sans" w:hAnsi="Noto Sans"/>
                <w:b/>
                <w:color w:val="0A0A0A"/>
                <w:sz w:val="19"/>
              </w:rPr>
              <w:t>Bahasa Indonesia adalah default. English must be supported by the frontend architecture. UI copy must never be hard-coded inside layout components.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Use translation keys/dictionaries for Header, all sections, FAQ, pricing labels, CTA, footer, and assistant.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Language preference persists on browser/device. No database/API change is required for H01 implementation unless product later chooses account-level preference.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Layout must tolerate English expansion/contraction. Avoid fixed-width buttons tied to Indonesian text.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Do not manually insert line breaks solely to match the Indonesian screenshot; allow responsive wrapping.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This handoff locks Indonesian copy. A marketing-approved English content pack is not present in the supplied source; frontend should be translation-ready and the EN dictionary can be finalized without changing component structure.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16. Frontend component contract</w:t>
      </w:r>
    </w:p>
    <w:p>
      <w:pPr>
        <w:spacing w:after="120" w:before="0" w:line="276" w:lineRule="auto"/>
      </w:pPr>
      <w:r>
        <w:rPr>
          <w:rFonts w:ascii="Noto Sans" w:hAnsi="Noto Sans"/>
          <w:b w:val="0"/>
          <w:color w:val="6B6B6B"/>
          <w:sz w:val="20"/>
        </w:rPr>
        <w:t>Recommended implementation decomposition. Names are illustrative; structure may adapt to the codebase, but responsibilities/states should remain separated.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30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6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SiteHeader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Desktop/mobile nav, anchor links, Login, language menu, theme toggle, primary CTA.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LanguageMenu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ID/EN options, current state, keyboard/focus behavior, persisted selection.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ThemeToggle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Light/Dark, accessible label, persisted selection, semantic-token switch.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Button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primary / secondary / ghost / dark / danger; default / hover / active / focus / disabled.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Eyebrow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Compact section label; restrained outline/pill variant.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HeroProof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Small icon + proof text; never a full card unless needed.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StepJourney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Number + title + copy + product visual; horizontal desktop / stacked mobile.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BenefitFeature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Main feature + supporting feature variant; avoid one-size-fits-all cards.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UseCaseCard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Photo-led event category, title, concise description.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CapacitySelector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Seven discrete values with price mapping and accessible selected state.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TrustItem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Icon/title/body, low-emphasis row/module.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FAQAccordion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Keyboard-accessible disclosure with clear focus/expanded state.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FinalCTA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Headline/supporting/primary action; optional small Photo Stack.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SiteFooter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Brand + utility link groups + social.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AssistantLauncher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Closed/open state; placement collision-safe.</w:t>
            </w:r>
          </w:p>
        </w:tc>
      </w:tr>
    </w:tbl>
    <w:p>
      <w:pPr>
        <w:pStyle w:val="Heading2"/>
        <w:spacing w:before="160" w:after="120"/>
      </w:pPr>
      <w:r>
        <w:rPr>
          <w:rFonts w:ascii="Noto Sans" w:hAnsi="Noto Sans"/>
          <w:b/>
          <w:color w:val="0A0A0A"/>
          <w:sz w:val="28"/>
        </w:rPr>
        <w:t>16.1 Interaction layering</w:t>
      </w:r>
    </w:p>
    <w:p>
      <w:pPr>
        <w:spacing w:after="120" w:before="0" w:line="276" w:lineRule="auto"/>
      </w:pPr>
      <w:r>
        <w:rPr>
          <w:rFonts w:ascii="Noto Sans" w:hAnsi="Noto Sans"/>
          <w:b w:val="0"/>
          <w:color w:val="0A0A0A"/>
          <w:sz w:val="20"/>
        </w:rPr>
        <w:t>Use a consistent layer order: page &lt; sticky header &lt; dropdown/popover &lt; modal overlay &lt; toast/critical transient. Floating elements must manage focus and Escape/click-outside according to context.</w:t>
      </w:r>
    </w:p>
    <w:p>
      <w:r>
        <w:br w:type="page"/>
      </w:r>
    </w:p>
    <w:p>
      <w:pPr>
        <w:pStyle w:val="Heading2"/>
      </w:pPr>
      <w:r>
        <w:t>16.2 Next.js implementation contract</w:t>
      </w:r>
    </w:p>
    <w:p>
      <w:pPr/>
      <w:r>
        <w:t>Frontend H01 is implemented with Next.js + React + TypeScript. Keep the page server-render/static-capable by default and introduce client-side state only where interaction or browser APIs require it. The details below are implementation guidance for H01 and must not override project-wide architecture decisions.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5018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18"/>
            <w:vAlign w:val="center"/>
          </w:tcPr>
          <w:p>
            <w:r>
              <w:rPr>
                <w:b/>
              </w:rPr>
              <w:t>Next.js implementation guidance</w:t>
            </w:r>
          </w:p>
        </w:tc>
      </w:tr>
      <w:tr>
        <w:tc>
          <w:tcPr>
            <w:tcW w:type="dxa" w:w="5018"/>
            <w:vAlign w:val="center"/>
          </w:tcPr>
          <w:p>
            <w:r>
              <w:t>Page composition</w:t>
            </w:r>
          </w:p>
        </w:tc>
        <w:tc>
          <w:tcPr>
            <w:tcW w:type="dxa" w:w="5018"/>
            <w:vAlign w:val="center"/>
          </w:tcPr>
          <w:p>
            <w:r>
              <w:t>Keep static marketing sections renderable without client state. Use Client Components only for interactive islands such as mobile navigation, language selector, theme toggle, pricing selector, FAQ accordion, and assistant launcher.</w:t>
            </w:r>
          </w:p>
        </w:tc>
      </w:tr>
      <w:tr>
        <w:tc>
          <w:tcPr>
            <w:tcW w:type="dxa" w:w="5018"/>
            <w:vAlign w:val="center"/>
          </w:tcPr>
          <w:p>
            <w:r>
              <w:t>Component boundaries</w:t>
            </w:r>
          </w:p>
        </w:tc>
        <w:tc>
          <w:tcPr>
            <w:tcW w:type="dxa" w:w="5018"/>
            <w:vAlign w:val="center"/>
          </w:tcPr>
          <w:p>
            <w:r>
              <w:t>Section components should remain independently maintainable. Do not create one monolithic H01 client component solely to share local UI state.</w:t>
            </w:r>
          </w:p>
        </w:tc>
      </w:tr>
      <w:tr>
        <w:tc>
          <w:tcPr>
            <w:tcW w:type="dxa" w:w="5018"/>
            <w:vAlign w:val="center"/>
          </w:tcPr>
          <w:p>
            <w:r>
              <w:t>TypeScript</w:t>
            </w:r>
          </w:p>
        </w:tc>
        <w:tc>
          <w:tcPr>
            <w:tcW w:type="dxa" w:w="5018"/>
            <w:vAlign w:val="center"/>
          </w:tcPr>
          <w:p>
            <w:r>
              <w:t>Represent pricing capacities, FAQ items, navigation items, and localized content with typed data structures. Avoid duplicating pricing values and capability labels across components.</w:t>
            </w:r>
          </w:p>
        </w:tc>
      </w:tr>
      <w:tr>
        <w:tc>
          <w:tcPr>
            <w:tcW w:type="dxa" w:w="5018"/>
            <w:vAlign w:val="center"/>
          </w:tcPr>
          <w:p>
            <w:r>
              <w:t>Images</w:t>
            </w:r>
          </w:p>
        </w:tc>
        <w:tc>
          <w:tcPr>
            <w:tcW w:type="dxa" w:w="5018"/>
            <w:vAlign w:val="center"/>
          </w:tcPr>
          <w:p>
            <w:r>
              <w:t>Use the Next.js image pipeline where practical. Reserve aspect ratios to prevent CLS, provide responsive sizes, prioritize the Hero/LCP asset, and lazy-load below-fold photography.</w:t>
            </w:r>
          </w:p>
        </w:tc>
      </w:tr>
      <w:tr>
        <w:tc>
          <w:tcPr>
            <w:tcW w:type="dxa" w:w="5018"/>
            <w:vAlign w:val="center"/>
          </w:tcPr>
          <w:p>
            <w:r>
              <w:t>Fonts</w:t>
            </w:r>
          </w:p>
        </w:tc>
        <w:tc>
          <w:tcPr>
            <w:tcW w:type="dxa" w:w="5018"/>
            <w:vAlign w:val="center"/>
          </w:tcPr>
          <w:p>
            <w:r>
              <w:t>Use a production-safe Next.js font integration for Space Grotesk and Plus Jakarta Sans. Logo remains the official graphic asset and is never reconstructed with a font.</w:t>
            </w:r>
          </w:p>
        </w:tc>
      </w:tr>
      <w:tr>
        <w:tc>
          <w:tcPr>
            <w:tcW w:type="dxa" w:w="5018"/>
            <w:vAlign w:val="center"/>
          </w:tcPr>
          <w:p>
            <w:r>
              <w:t>Theme</w:t>
            </w:r>
          </w:p>
        </w:tc>
        <w:tc>
          <w:tcPr>
            <w:tcW w:type="dxa" w:w="5018"/>
            <w:vAlign w:val="center"/>
          </w:tcPr>
          <w:p>
            <w:r>
              <w:t>Implement Light/Dark with semantic design tokens/CSS custom properties. Default is Light regardless of OS preference. Persist explicit user choice and prevent a visible theme flash during initial render.</w:t>
            </w:r>
          </w:p>
        </w:tc>
      </w:tr>
      <w:tr>
        <w:tc>
          <w:tcPr>
            <w:tcW w:type="dxa" w:w="5018"/>
            <w:vAlign w:val="center"/>
          </w:tcPr>
          <w:p>
            <w:r>
              <w:t>Localization</w:t>
            </w:r>
          </w:p>
        </w:tc>
        <w:tc>
          <w:tcPr>
            <w:tcW w:type="dxa" w:w="5018"/>
            <w:vAlign w:val="center"/>
          </w:tcPr>
          <w:p>
            <w:r>
              <w:t>ID is default. Externalize all UI copy into ID/EN dictionaries or the project i18n layer. The URL-locale strategy is not locked by this handoff; follow the project routing architecture.</w:t>
            </w:r>
          </w:p>
        </w:tc>
      </w:tr>
      <w:tr>
        <w:tc>
          <w:tcPr>
            <w:tcW w:type="dxa" w:w="5018"/>
            <w:vAlign w:val="center"/>
          </w:tcPr>
          <w:p>
            <w:r>
              <w:t>Anchors</w:t>
            </w:r>
          </w:p>
        </w:tc>
        <w:tc>
          <w:tcPr>
            <w:tcW w:type="dxa" w:w="5018"/>
            <w:vAlign w:val="center"/>
          </w:tcPr>
          <w:p>
            <w:r>
              <w:t>Header anchors must reliably reach Cara Kerja, Harga, and FAQ. Recommended stable ids: cara-kerja, harga, faq.</w:t>
            </w:r>
          </w:p>
        </w:tc>
      </w:tr>
      <w:tr>
        <w:tc>
          <w:tcPr>
            <w:tcW w:type="dxa" w:w="5018"/>
            <w:vAlign w:val="center"/>
          </w:tcPr>
          <w:p>
            <w:r>
              <w:t>Routing</w:t>
            </w:r>
          </w:p>
        </w:tc>
        <w:tc>
          <w:tcPr>
            <w:tcW w:type="dxa" w:w="5018"/>
            <w:vAlign w:val="center"/>
          </w:tcPr>
          <w:p>
            <w:r>
              <w:t>Masuk and Buat Album Gratis must use the product routes defined by the frontend/application architecture. Do not invent new authentication or album-creation behavior in H01.</w:t>
            </w:r>
          </w:p>
        </w:tc>
      </w:tr>
      <w:tr>
        <w:tc>
          <w:tcPr>
            <w:tcW w:type="dxa" w:w="5018"/>
            <w:vAlign w:val="center"/>
          </w:tcPr>
          <w:p>
            <w:r>
              <w:t>SEO / metadata</w:t>
            </w:r>
          </w:p>
        </w:tc>
        <w:tc>
          <w:tcPr>
            <w:tcW w:type="dxa" w:w="5018"/>
            <w:vAlign w:val="center"/>
          </w:tcPr>
          <w:p>
            <w:r>
              <w:t>Provide page title, description, Open Graph/social metadata, and canonical handling through the project Next.js metadata approach. Metadata copy must reflect actual Kepotret positioning and product truth.</w:t>
            </w:r>
          </w:p>
        </w:tc>
      </w:tr>
      <w:tr>
        <w:tc>
          <w:tcPr>
            <w:tcW w:type="dxa" w:w="5018"/>
            <w:vAlign w:val="center"/>
          </w:tcPr>
          <w:p>
            <w:r>
              <w:t>Styling</w:t>
            </w:r>
          </w:p>
        </w:tc>
        <w:tc>
          <w:tcPr>
            <w:tcW w:type="dxa" w:w="5018"/>
            <w:vAlign w:val="center"/>
          </w:tcPr>
          <w:p>
            <w:r>
              <w:t>LOCKED: Tailwind CSS 4.3.3 + CSS Custom Properties / semantic design tokens. CSS Modules or another styling system must not replace this baseline without an approved architecture change.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vAlign w:val="center"/>
          </w:tcPr>
          <w:p>
            <w:r>
              <w:rPr>
                <w:b/>
              </w:rPr>
              <w:t>NEXT.JS IMPLEMENTATION RULE / Do not convert the approved PNG into a single image-based page. Rebuild the composition with semantic HTML, reusable React components, responsive assets, and the design tokens in this handoff.</w:t>
            </w:r>
          </w:p>
        </w:tc>
      </w:tr>
    </w:tbl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17. Accessibility requirements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Keyboard navigation must reach header utilities, CTAs, capacity options, accordion controls, footer links, and assistant launcher.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Visible focus state is mandatory in both Light and Dark themes. Do not rely on color alone for selected/error/active states.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Images require meaningful alt text when informative; purely decorative photos use empty alt where appropriate.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Language menu exposes current selection; theme toggle has explicit accessible name such as “Gunakan mode gelap”.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Capacity selector should behave as a labeled radiogroup/segmented discrete selector or an accessible discrete range control.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FAQ questions use semantic buttons and aria-expanded/aria-controls.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Ensure heading order remains logical; eyebrow labels are not heading replacements.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Respect reduced motion and avoid auto-motion that interferes with reading.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Contrast must be validated in both themes; Lime is not long-form text on White.</w:t>
      </w:r>
    </w:p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18. Performance and implementation quality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Prioritize Hero/LCP image; lazy-load below-fold photography and non-critical product screenshots.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Use responsive image sizes and modern formats when the asset pipeline supports them.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No autoplay carousel/video dependency for core messaging.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Avoid JavaScript for purely decorative layout. Theme/i18n/accordion/pricing behavior should remain lightweight.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Prevent cumulative layout shift by reserving image/device aspect ratios.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Animations should use transform/opacity where possible and remain short/subtle.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Do not embed the approved PNG as the web page. Rebuild layout with semantic HTML/CSS/components.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19. Anti-clutter / anti-AI visual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30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66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DO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Use strong typography, whitespace, real product UI, authentic photography, controlled asymmetry, clear grid, purposeful Lime accents, and fewer stronger visual moments.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DON’T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Fill every whitespace; use many identical cards; stack several device renders; rotate every photo; repeat doodles; add glow/gradient everywhere; make every section a “hero”; use fake unsupported UI; use overly perfect AI-looking event people.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Per-section rule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Each section has ONE primary visual idea. Supporting treatments must remain subordinate.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Brand rule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Moment Dot, Capture Corners, and Photo Stack are signatures—not wallpaper.</w:t>
            </w:r>
          </w:p>
        </w:tc>
      </w:tr>
    </w:tbl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20. Product truth constraints for H01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Guest contribution is browser camera capture. Do not show or promise gallery/file upload.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Do not show video capture as a V1 capability.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Do not show photo filters as a V1 capability.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Do not claim unlimited photos. Maximum selectable capacity is 10,000 photos.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Do not imply immediate reveal by default. Reveal options are D+1 / D+3 / D+5 / D+7.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Do not position Kepotret as a photographer/vendor service. It is a digital participatory documentation product.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WhatsApp means sharing/opening a photo link; do not imply automatic delivery of image files.</w:t>
      </w:r>
    </w:p>
    <w:p>
      <w:pPr>
        <w:pStyle w:val="ListBullet"/>
        <w:spacing w:after="60"/>
        <w:ind w:left="259"/>
      </w:pPr>
      <w:r>
        <w:rPr>
          <w:rFonts w:ascii="Noto Sans" w:hAnsi="Noto Sans"/>
          <w:color w:val="0A0A0A"/>
          <w:sz w:val="20"/>
        </w:rPr>
        <w:t>Participant count is not the package dimension; photo capacity is.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21. Recommended analytics events (non-blocking)</w:t>
      </w:r>
    </w:p>
    <w:p>
      <w:pPr>
        <w:spacing w:after="120" w:before="0" w:line="276" w:lineRule="auto"/>
      </w:pPr>
      <w:r>
        <w:rPr>
          <w:rFonts w:ascii="Noto Sans" w:hAnsi="Noto Sans"/>
          <w:b w:val="0"/>
          <w:color w:val="6B6B6B"/>
          <w:sz w:val="19"/>
        </w:rPr>
        <w:t>These events are recommended for product/marketing learning and do not change H01 UI acceptance.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30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66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Suggested properties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h01_cta_create_album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source: header | hero | pricing | final_cta; selected_capacity if relevant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h01_secondary_how_it_works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source: hero | section_02 | guest_experience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h01_language_change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from_locale / to_locale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h01_theme_change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from_theme / to_theme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h01_capacity_select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capacity; price; previous_capacity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h01_faq_toggle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faq_id; expanded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h01_security_click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source: trust_section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h01_login_click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source: header | footer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h01_assistant_open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viewport / section context optional</w:t>
            </w:r>
          </w:p>
        </w:tc>
      </w:tr>
    </w:tbl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22. Frontend acceptance checklist / Definition of Done</w:t>
      </w:r>
    </w:p>
    <w:p>
      <w:pPr>
        <w:spacing w:after="80"/>
      </w:pPr>
      <w:r>
        <w:rPr>
          <w:rFonts w:ascii="Noto Sans" w:hAnsi="Noto Sans"/>
          <w:b/>
          <w:color w:val="0A0A0A"/>
          <w:sz w:val="20"/>
        </w:rPr>
        <w:t xml:space="preserve">☐  </w:t>
      </w:r>
      <w:r>
        <w:rPr>
          <w:rFonts w:ascii="Noto Sans" w:hAnsi="Noto Sans"/>
          <w:color w:val="0A0A0A"/>
          <w:sz w:val="19"/>
        </w:rPr>
        <w:t>Correct official Kepotret logo artwork; no reconstructed text logo.</w:t>
      </w:r>
    </w:p>
    <w:p>
      <w:pPr>
        <w:spacing w:after="80"/>
      </w:pPr>
      <w:r>
        <w:rPr>
          <w:rFonts w:ascii="Noto Sans" w:hAnsi="Noto Sans"/>
          <w:b/>
          <w:color w:val="0A0A0A"/>
          <w:sz w:val="20"/>
        </w:rPr>
        <w:t xml:space="preserve">☐  </w:t>
      </w:r>
      <w:r>
        <w:rPr>
          <w:rFonts w:ascii="Noto Sans" w:hAnsi="Noto Sans"/>
          <w:color w:val="0A0A0A"/>
          <w:sz w:val="19"/>
        </w:rPr>
        <w:t>Header includes Cara Kerja, Harga, FAQ, Masuk, ID/EN, Light/Dark, and Buat Album Gratis.</w:t>
      </w:r>
    </w:p>
    <w:p>
      <w:pPr>
        <w:spacing w:after="80"/>
      </w:pPr>
      <w:r>
        <w:rPr>
          <w:rFonts w:ascii="Noto Sans" w:hAnsi="Noto Sans"/>
          <w:b/>
          <w:color w:val="0A0A0A"/>
          <w:sz w:val="20"/>
        </w:rPr>
        <w:t xml:space="preserve">☐  </w:t>
      </w:r>
      <w:r>
        <w:rPr>
          <w:rFonts w:ascii="Noto Sans" w:hAnsi="Noto Sans"/>
          <w:color w:val="0A0A0A"/>
          <w:sz w:val="19"/>
        </w:rPr>
        <w:t>Default first visit is Light + ID.</w:t>
      </w:r>
    </w:p>
    <w:p>
      <w:pPr>
        <w:spacing w:after="80"/>
      </w:pPr>
      <w:r>
        <w:rPr>
          <w:rFonts w:ascii="Noto Sans" w:hAnsi="Noto Sans"/>
          <w:b/>
          <w:color w:val="0A0A0A"/>
          <w:sz w:val="20"/>
        </w:rPr>
        <w:t xml:space="preserve">☐  </w:t>
      </w:r>
      <w:r>
        <w:rPr>
          <w:rFonts w:ascii="Noto Sans" w:hAnsi="Noto Sans"/>
          <w:color w:val="0A0A0A"/>
          <w:sz w:val="19"/>
        </w:rPr>
        <w:t>All H01 sections render in the locked order: Header → Hero → Cara Kerja → Benefits → Differentiation → Use Cases → Guest Experience → Pricing → Trust → FAQ → Final CTA → Footer (+ Assistant launcher).</w:t>
      </w:r>
    </w:p>
    <w:p>
      <w:pPr>
        <w:spacing w:after="80"/>
      </w:pPr>
      <w:r>
        <w:rPr>
          <w:rFonts w:ascii="Noto Sans" w:hAnsi="Noto Sans"/>
          <w:b/>
          <w:color w:val="0A0A0A"/>
          <w:sz w:val="20"/>
        </w:rPr>
        <w:t xml:space="preserve">☐  </w:t>
      </w:r>
      <w:r>
        <w:rPr>
          <w:rFonts w:ascii="Noto Sans" w:hAnsi="Noto Sans"/>
          <w:color w:val="0A0A0A"/>
          <w:sz w:val="19"/>
        </w:rPr>
        <w:t>Indonesian copy matches this handoff; no generated/mockup text is treated as source of truth.</w:t>
      </w:r>
    </w:p>
    <w:p>
      <w:pPr>
        <w:spacing w:after="80"/>
      </w:pPr>
      <w:r>
        <w:rPr>
          <w:rFonts w:ascii="Noto Sans" w:hAnsi="Noto Sans"/>
          <w:b/>
          <w:color w:val="0A0A0A"/>
          <w:sz w:val="20"/>
        </w:rPr>
        <w:t xml:space="preserve">☐  </w:t>
      </w:r>
      <w:r>
        <w:rPr>
          <w:rFonts w:ascii="Noto Sans" w:hAnsi="Noto Sans"/>
          <w:color w:val="0A0A0A"/>
          <w:sz w:val="19"/>
        </w:rPr>
        <w:t>Pricing exposes exactly 30 / 100 / 250 / 500 / 700 / 1K / 10K with specified values and 10K maximum.</w:t>
      </w:r>
    </w:p>
    <w:p>
      <w:pPr>
        <w:spacing w:after="80"/>
      </w:pPr>
      <w:r>
        <w:rPr>
          <w:rFonts w:ascii="Noto Sans" w:hAnsi="Noto Sans"/>
          <w:b/>
          <w:color w:val="0A0A0A"/>
          <w:sz w:val="20"/>
        </w:rPr>
        <w:t xml:space="preserve">☐  </w:t>
      </w:r>
      <w:r>
        <w:rPr>
          <w:rFonts w:ascii="Noto Sans" w:hAnsi="Noto Sans"/>
          <w:color w:val="0A0A0A"/>
          <w:sz w:val="19"/>
        </w:rPr>
        <w:t>No upload, video, filter, unlimited-photo, photographer-service, or automatic-WhatsApp-delivery implication.</w:t>
      </w:r>
    </w:p>
    <w:p>
      <w:pPr>
        <w:spacing w:after="80"/>
      </w:pPr>
      <w:r>
        <w:rPr>
          <w:rFonts w:ascii="Noto Sans" w:hAnsi="Noto Sans"/>
          <w:b/>
          <w:color w:val="0A0A0A"/>
          <w:sz w:val="20"/>
        </w:rPr>
        <w:t xml:space="preserve">☐  </w:t>
      </w:r>
      <w:r>
        <w:rPr>
          <w:rFonts w:ascii="Noto Sans" w:hAnsi="Noto Sans"/>
          <w:color w:val="0A0A0A"/>
          <w:sz w:val="19"/>
        </w:rPr>
        <w:t>Guest journey proof shows QR → name → permission → capture/preview.</w:t>
      </w:r>
    </w:p>
    <w:p>
      <w:pPr>
        <w:spacing w:after="80"/>
      </w:pPr>
      <w:r>
        <w:rPr>
          <w:rFonts w:ascii="Noto Sans" w:hAnsi="Noto Sans"/>
          <w:b/>
          <w:color w:val="0A0A0A"/>
          <w:sz w:val="20"/>
        </w:rPr>
        <w:t xml:space="preserve">☐  </w:t>
      </w:r>
      <w:r>
        <w:rPr>
          <w:rFonts w:ascii="Noto Sans" w:hAnsi="Noto Sans"/>
          <w:color w:val="0A0A0A"/>
          <w:sz w:val="19"/>
        </w:rPr>
        <w:t>Photography is multi-event and not wedding-dominant.</w:t>
      </w:r>
    </w:p>
    <w:p>
      <w:pPr>
        <w:spacing w:after="80"/>
      </w:pPr>
      <w:r>
        <w:rPr>
          <w:rFonts w:ascii="Noto Sans" w:hAnsi="Noto Sans"/>
          <w:b/>
          <w:color w:val="0A0A0A"/>
          <w:sz w:val="20"/>
        </w:rPr>
        <w:t xml:space="preserve">☐  </w:t>
      </w:r>
      <w:r>
        <w:rPr>
          <w:rFonts w:ascii="Noto Sans" w:hAnsi="Noto Sans"/>
          <w:color w:val="0A0A0A"/>
          <w:sz w:val="19"/>
        </w:rPr>
        <w:t>Light and Dark themes pass visual/contrast QA.</w:t>
      </w:r>
    </w:p>
    <w:p>
      <w:pPr>
        <w:spacing w:after="80"/>
      </w:pPr>
      <w:r>
        <w:rPr>
          <w:rFonts w:ascii="Noto Sans" w:hAnsi="Noto Sans"/>
          <w:b/>
          <w:color w:val="0A0A0A"/>
          <w:sz w:val="20"/>
        </w:rPr>
        <w:t xml:space="preserve">☐  </w:t>
      </w:r>
      <w:r>
        <w:rPr>
          <w:rFonts w:ascii="Noto Sans" w:hAnsi="Noto Sans"/>
          <w:color w:val="0A0A0A"/>
          <w:sz w:val="19"/>
        </w:rPr>
        <w:t>ID/EN architecture is externalized; no fixed-width assumptions that break English.</w:t>
      </w:r>
    </w:p>
    <w:p>
      <w:pPr>
        <w:spacing w:after="80"/>
      </w:pPr>
      <w:r>
        <w:rPr>
          <w:rFonts w:ascii="Noto Sans" w:hAnsi="Noto Sans"/>
          <w:b/>
          <w:color w:val="0A0A0A"/>
          <w:sz w:val="20"/>
        </w:rPr>
        <w:t xml:space="preserve">☐  </w:t>
      </w:r>
      <w:r>
        <w:rPr>
          <w:rFonts w:ascii="Noto Sans" w:hAnsi="Noto Sans"/>
          <w:color w:val="0A0A0A"/>
          <w:sz w:val="19"/>
        </w:rPr>
        <w:t>Pricing and FAQ work with keyboard and touch; focus states visible.</w:t>
      </w:r>
    </w:p>
    <w:p>
      <w:pPr>
        <w:spacing w:after="80"/>
      </w:pPr>
      <w:r>
        <w:rPr>
          <w:rFonts w:ascii="Noto Sans" w:hAnsi="Noto Sans"/>
          <w:b/>
          <w:color w:val="0A0A0A"/>
          <w:sz w:val="20"/>
        </w:rPr>
        <w:t xml:space="preserve">☐  </w:t>
      </w:r>
      <w:r>
        <w:rPr>
          <w:rFonts w:ascii="Noto Sans" w:hAnsi="Noto Sans"/>
          <w:color w:val="0A0A0A"/>
          <w:sz w:val="19"/>
        </w:rPr>
        <w:t>Mobile 320–430px, tablet, and desktop layouts have no horizontal page overflow.</w:t>
      </w:r>
    </w:p>
    <w:p>
      <w:pPr>
        <w:spacing w:after="80"/>
      </w:pPr>
      <w:r>
        <w:rPr>
          <w:rFonts w:ascii="Noto Sans" w:hAnsi="Noto Sans"/>
          <w:b/>
          <w:color w:val="0A0A0A"/>
          <w:sz w:val="20"/>
        </w:rPr>
        <w:t xml:space="preserve">☐  </w:t>
      </w:r>
      <w:r>
        <w:rPr>
          <w:rFonts w:ascii="Noto Sans" w:hAnsi="Noto Sans"/>
          <w:color w:val="0A0A0A"/>
          <w:sz w:val="19"/>
        </w:rPr>
        <w:t>H01 remains intentionally compact; decorative padding/assets are trimmed before adding scroll length.</w:t>
      </w:r>
    </w:p>
    <w:p>
      <w:pPr>
        <w:spacing w:after="80"/>
      </w:pPr>
      <w:r>
        <w:rPr>
          <w:rFonts w:ascii="Noto Sans" w:hAnsi="Noto Sans"/>
          <w:b/>
          <w:color w:val="0A0A0A"/>
          <w:sz w:val="20"/>
        </w:rPr>
        <w:t xml:space="preserve">☐  </w:t>
      </w:r>
      <w:r>
        <w:rPr>
          <w:rFonts w:ascii="Noto Sans" w:hAnsi="Noto Sans"/>
          <w:color w:val="0A0A0A"/>
          <w:sz w:val="19"/>
        </w:rPr>
        <w:t>Below-fold imagery is optimized/lazy-loaded; Hero/LCP asset prioritized.</w:t>
      </w:r>
    </w:p>
    <w:p>
      <w:pPr>
        <w:spacing w:after="80"/>
      </w:pPr>
      <w:r>
        <w:rPr>
          <w:rFonts w:ascii="Noto Sans" w:hAnsi="Noto Sans"/>
          <w:b/>
          <w:color w:val="0A0A0A"/>
          <w:sz w:val="20"/>
        </w:rPr>
        <w:t xml:space="preserve">☐  </w:t>
      </w:r>
      <w:r>
        <w:rPr>
          <w:rFonts w:ascii="Noto Sans" w:hAnsi="Noto Sans"/>
          <w:color w:val="0A0A0A"/>
          <w:sz w:val="19"/>
        </w:rPr>
        <w:t>No serious CLS, overlapping floating launcher, or header collision.</w:t>
      </w:r>
    </w:p>
    <w:p>
      <w:pPr>
        <w:spacing w:after="80"/>
      </w:pPr>
      <w:r>
        <w:rPr>
          <w:rFonts w:ascii="Noto Sans" w:hAnsi="Noto Sans"/>
          <w:b/>
          <w:color w:val="0A0A0A"/>
          <w:sz w:val="20"/>
        </w:rPr>
        <w:t xml:space="preserve">☐  </w:t>
      </w:r>
      <w:r>
        <w:rPr>
          <w:rFonts w:ascii="Noto Sans" w:hAnsi="Noto Sans"/>
          <w:color w:val="0A0A0A"/>
          <w:sz w:val="19"/>
        </w:rPr>
        <w:t>Visual result matches the approved reference in hierarchy and feel without pixel-tracing image-generation artifacts.</w:t>
      </w:r>
    </w:p>
    <w:p>
      <w:r>
        <w:br w:type="page"/>
      </w:r>
    </w:p>
    <w:p>
      <w:pPr/>
      <w:r>
        <w:t>☐  H01 is implemented as Next.js + React + TypeScript components; interactive islands do not force the entire page into unnecessary client rendering.</w:t>
      </w:r>
    </w:p>
    <w:p>
      <w:pPr/>
      <w:r>
        <w:t>☐  Static content, pricing data, FAQ content, theme tokens, and localization strings are centralized/typed rather than duplicated across section components.</w:t>
      </w:r>
    </w:p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23. Files to hand to Frontend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</w:trPr>
        <w:tc>
          <w:tcPr>
            <w:tcW w:type="dxa" w:w="30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6696"/>
            <w:shd w:fill="0A0A0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Kepotret_H01_Frontend_Developer_Handoff_</w:t>
              <w:br/>
              <w:t>v1_0.docx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Primary implementation source of truth: content, design rules, responsive/theme/i18n, interactions, DoD.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Kepotret_H01_Approved_Visual_Reference_v1_0.png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Approved full-page visual reference. Composition/hierarchy reference only.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Kepotret_Brand_Identity_Guidelines_v1_0.pdf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Brand logo/color/type/photo foundation.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Kepotret_UI_Component_Visual_Direction_v1_0.pdf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Reusable component visual and interaction cues.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Kepotret UI Element.pdf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Secondary pattern reference only; do not copy unsupported product content from examples.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b/>
                <w:color w:val="0A0A0A"/>
                <w:sz w:val="18"/>
              </w:rPr>
              <w:t>Kepotret_H01_Landing_Page_UIUX_Handoff_v1_0.docx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color w:val="0A0A0A"/>
                <w:sz w:val="18"/>
              </w:rPr>
              <w:t>Historical marketing/content handoff. Where it conflicts with this document, this document wins for H01 implementation.</w:t>
            </w:r>
          </w:p>
        </w:tc>
      </w:tr>
    </w:tbl>
    <w:p>
      <w:pPr>
        <w:pStyle w:val="Heading1"/>
        <w:spacing w:before="240" w:after="120"/>
      </w:pPr>
      <w:r>
        <w:rPr>
          <w:rFonts w:ascii="Noto Sans" w:hAnsi="Noto Sans"/>
          <w:b/>
          <w:color w:val="0A0A0A"/>
          <w:sz w:val="36"/>
        </w:rPr>
        <w:t>24. Final lock statement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10037"/>
            <w:shd w:fill="D8FF3D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r>
              <w:rPr>
                <w:b/>
              </w:rPr>
              <w:t>H01 LANDING PAGE — LOCKED / READY FOR FRONTEND IMPLEMENTATION</w:t>
              <w:br/>
              <w:t>Implementation target: Next.js + React + TypeScript. The H01 design phase is complete for implementation purposes. Future refinement should happen through implementation QA without reopening product positioning, section architecture, or locked business rules unless a real conflict is found.</w:t>
            </w:r>
          </w:p>
        </w:tc>
      </w:tr>
    </w:tbl>
    <w:p>
      <w:pPr>
        <w:spacing w:after="0"/>
      </w:pPr>
    </w:p>
    <w:p>
      <w:pPr>
        <w:spacing w:after="120" w:before="240" w:line="276" w:lineRule="auto"/>
        <w:jc w:val="center"/>
      </w:pPr>
      <w:r>
        <w:rPr>
          <w:rFonts w:ascii="Noto Sans" w:hAnsi="Noto Sans"/>
          <w:b w:val="0"/>
          <w:color w:val="6B6B6B"/>
          <w:sz w:val="18"/>
        </w:rPr>
        <w:t>End of handoff.</w:t>
      </w:r>
    </w:p>
    <w:p>
      <w:r>
        <w:br w:type="page"/>
      </w:r>
    </w:p>
    <w:p>
      <w:pPr>
        <w:pStyle w:val="Heading1"/>
      </w:pPr>
      <w:r>
        <w:t>25. Locked engineering baseline alignment</w:t>
      </w:r>
    </w:p>
    <w:p>
      <w:r>
        <w:t>This section synchronizes the visual/UI handoff with Kepotret_Frontend_Development_Handoff_v1_1_LOCKED. It does not replace PRD, OpenAPI, permission, payment, retention, schedule, or security rules. Where a product/API conflict is discovered, implementation must stop and the conflict must be raised; developers must not guess.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3346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46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346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46"/>
            <w:vAlign w:val="center"/>
          </w:tcPr>
          <w:p>
            <w:r>
              <w:t>Language</w:t>
            </w:r>
          </w:p>
        </w:tc>
        <w:tc>
          <w:tcPr>
            <w:tcW w:type="dxa" w:w="3346"/>
            <w:vAlign w:val="center"/>
          </w:tcPr>
          <w:p>
            <w:r>
              <w:t>TypeScript</w:t>
            </w:r>
          </w:p>
        </w:tc>
        <w:tc>
          <w:tcPr>
            <w:tcW w:type="dxa" w:w="3346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46"/>
            <w:vAlign w:val="center"/>
          </w:tcPr>
          <w:p>
            <w:r>
              <w:t>Framework</w:t>
            </w:r>
          </w:p>
        </w:tc>
        <w:tc>
          <w:tcPr>
            <w:tcW w:type="dxa" w:w="3346"/>
            <w:vAlign w:val="center"/>
          </w:tcPr>
          <w:p>
            <w:r>
              <w:t>Next.js 16.3.6 + React 19.3.0 / React DOM 19.3.0</w:t>
            </w:r>
          </w:p>
        </w:tc>
        <w:tc>
          <w:tcPr>
            <w:tcW w:type="dxa" w:w="3346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46"/>
            <w:vAlign w:val="center"/>
          </w:tcPr>
          <w:p>
            <w:r>
              <w:t>Runtime</w:t>
            </w:r>
          </w:p>
        </w:tc>
        <w:tc>
          <w:tcPr>
            <w:tcW w:type="dxa" w:w="3346"/>
            <w:vAlign w:val="center"/>
          </w:tcPr>
          <w:p>
            <w:r>
              <w:t>Node.js 24.21.0 LTS</w:t>
            </w:r>
          </w:p>
        </w:tc>
        <w:tc>
          <w:tcPr>
            <w:tcW w:type="dxa" w:w="3346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46"/>
            <w:vAlign w:val="center"/>
          </w:tcPr>
          <w:p>
            <w:r>
              <w:t>Routing</w:t>
            </w:r>
          </w:p>
        </w:tc>
        <w:tc>
          <w:tcPr>
            <w:tcW w:type="dxa" w:w="3346"/>
            <w:vAlign w:val="center"/>
          </w:tcPr>
          <w:p>
            <w:r>
              <w:t>Next.js App Router</w:t>
            </w:r>
          </w:p>
        </w:tc>
        <w:tc>
          <w:tcPr>
            <w:tcW w:type="dxa" w:w="3346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46"/>
            <w:vAlign w:val="center"/>
          </w:tcPr>
          <w:p>
            <w:r>
              <w:t>Styling</w:t>
            </w:r>
          </w:p>
        </w:tc>
        <w:tc>
          <w:tcPr>
            <w:tcW w:type="dxa" w:w="3346"/>
            <w:vAlign w:val="center"/>
          </w:tcPr>
          <w:p>
            <w:r>
              <w:t>Tailwind CSS 4.3.3 + CSS Custom Properties / Design Tokens</w:t>
            </w:r>
          </w:p>
        </w:tc>
        <w:tc>
          <w:tcPr>
            <w:tcW w:type="dxa" w:w="3346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46"/>
            <w:vAlign w:val="center"/>
          </w:tcPr>
          <w:p>
            <w:r>
              <w:t>Icons</w:t>
            </w:r>
          </w:p>
        </w:tc>
        <w:tc>
          <w:tcPr>
            <w:tcW w:type="dxa" w:w="3346"/>
            <w:vAlign w:val="center"/>
          </w:tcPr>
          <w:p>
            <w:r>
              <w:t>Lucide React 1.48.0</w:t>
            </w:r>
          </w:p>
        </w:tc>
        <w:tc>
          <w:tcPr>
            <w:tcW w:type="dxa" w:w="3346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46"/>
            <w:vAlign w:val="center"/>
          </w:tcPr>
          <w:p>
            <w:r>
              <w:t>Motion</w:t>
            </w:r>
          </w:p>
        </w:tc>
        <w:tc>
          <w:tcPr>
            <w:tcW w:type="dxa" w:w="3346"/>
            <w:vAlign w:val="center"/>
          </w:tcPr>
          <w:p>
            <w:r>
              <w:t>Motion for React / Framer Motion 13.4.2</w:t>
            </w:r>
          </w:p>
        </w:tc>
        <w:tc>
          <w:tcPr>
            <w:tcW w:type="dxa" w:w="3346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46"/>
            <w:vAlign w:val="center"/>
          </w:tcPr>
          <w:p>
            <w:r>
              <w:t>Theme</w:t>
            </w:r>
          </w:p>
        </w:tc>
        <w:tc>
          <w:tcPr>
            <w:tcW w:type="dxa" w:w="3346"/>
            <w:vAlign w:val="center"/>
          </w:tcPr>
          <w:p>
            <w:r>
              <w:t>next-themes 0.4.6</w:t>
            </w:r>
          </w:p>
        </w:tc>
        <w:tc>
          <w:tcPr>
            <w:tcW w:type="dxa" w:w="3346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46"/>
            <w:vAlign w:val="center"/>
          </w:tcPr>
          <w:p>
            <w:r>
              <w:t>Localization</w:t>
            </w:r>
          </w:p>
        </w:tc>
        <w:tc>
          <w:tcPr>
            <w:tcW w:type="dxa" w:w="3346"/>
            <w:vAlign w:val="center"/>
          </w:tcPr>
          <w:p>
            <w:r>
              <w:t>next-intl 4.14.6</w:t>
            </w:r>
          </w:p>
        </w:tc>
        <w:tc>
          <w:tcPr>
            <w:tcW w:type="dxa" w:w="3346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46"/>
            <w:vAlign w:val="center"/>
          </w:tcPr>
          <w:p>
            <w:r>
              <w:t>Unit/component tests</w:t>
            </w:r>
          </w:p>
        </w:tc>
        <w:tc>
          <w:tcPr>
            <w:tcW w:type="dxa" w:w="3346"/>
            <w:vAlign w:val="center"/>
          </w:tcPr>
          <w:p>
            <w:r>
              <w:t>Vitest 5.0.1 + React Testing Library 16.3.3 + DOM Testing Library 10.4.2 + jest-dom 7.0.1</w:t>
            </w:r>
          </w:p>
        </w:tc>
        <w:tc>
          <w:tcPr>
            <w:tcW w:type="dxa" w:w="3346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46"/>
            <w:vAlign w:val="center"/>
          </w:tcPr>
          <w:p>
            <w:r>
              <w:t>E2E</w:t>
            </w:r>
          </w:p>
        </w:tc>
        <w:tc>
          <w:tcPr>
            <w:tcW w:type="dxa" w:w="3346"/>
            <w:vAlign w:val="center"/>
          </w:tcPr>
          <w:p>
            <w:r>
              <w:t>Playwright 1.63.0</w:t>
            </w:r>
          </w:p>
        </w:tc>
        <w:tc>
          <w:tcPr>
            <w:tcW w:type="dxa" w:w="3346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46"/>
            <w:vAlign w:val="center"/>
          </w:tcPr>
          <w:p>
            <w:r>
              <w:t>OpenAPI client generator</w:t>
            </w:r>
          </w:p>
        </w:tc>
        <w:tc>
          <w:tcPr>
            <w:tcW w:type="dxa" w:w="3346"/>
            <w:vAlign w:val="center"/>
          </w:tcPr>
          <w:p>
            <w:r>
              <w:t>Orval 8.36.0 against OpenAPI 3.1</w:t>
            </w:r>
          </w:p>
        </w:tc>
        <w:tc>
          <w:tcPr>
            <w:tcW w:type="dxa" w:w="3346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46"/>
            <w:vAlign w:val="center"/>
          </w:tcPr>
          <w:p>
            <w:r>
              <w:t>Package manager</w:t>
            </w:r>
          </w:p>
        </w:tc>
        <w:tc>
          <w:tcPr>
            <w:tcW w:type="dxa" w:w="3346"/>
            <w:vAlign w:val="center"/>
          </w:tcPr>
          <w:p>
            <w:r>
              <w:t>pnpm + Corepack unless an existing Kepotret repository is already standardized otherwise</w:t>
            </w:r>
          </w:p>
        </w:tc>
        <w:tc>
          <w:tcPr>
            <w:tcW w:type="dxa" w:w="3346"/>
            <w:vAlign w:val="center"/>
          </w:tcPr>
          <w:p>
            <w:r>
              <w:t>LOCKED convention</w:t>
            </w:r>
          </w:p>
        </w:tc>
      </w:tr>
      <w:tr>
        <w:tc>
          <w:tcPr>
            <w:tcW w:type="dxa" w:w="3346"/>
            <w:vAlign w:val="center"/>
          </w:tcPr>
          <w:p>
            <w:r>
              <w:t>Auth transport</w:t>
            </w:r>
          </w:p>
        </w:tc>
        <w:tc>
          <w:tcPr>
            <w:tcW w:type="dxa" w:w="3346"/>
            <w:vAlign w:val="center"/>
          </w:tcPr>
          <w:p>
            <w:r>
              <w:t>Secure HttpOnly cookie model; application auth tokens are never stored in localStorage</w:t>
            </w:r>
          </w:p>
        </w:tc>
        <w:tc>
          <w:tcPr>
            <w:tcW w:type="dxa" w:w="3346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46"/>
            <w:vAlign w:val="center"/>
          </w:tcPr>
          <w:p>
            <w:r>
              <w:t>API</w:t>
            </w:r>
          </w:p>
        </w:tc>
        <w:tc>
          <w:tcPr>
            <w:tcW w:type="dxa" w:w="3346"/>
            <w:vAlign w:val="center"/>
          </w:tcPr>
          <w:p>
            <w:r>
              <w:t>REST + JSON; /api/v1; generated DTO/client is authoritative</w:t>
            </w:r>
          </w:p>
        </w:tc>
        <w:tc>
          <w:tcPr>
            <w:tcW w:type="dxa" w:w="3346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46"/>
            <w:vAlign w:val="center"/>
          </w:tcPr>
          <w:p>
            <w:r>
              <w:t>Offline/PWA</w:t>
            </w:r>
          </w:p>
        </w:tc>
        <w:tc>
          <w:tcPr>
            <w:tcW w:type="dxa" w:w="3346"/>
            <w:vAlign w:val="center"/>
          </w:tcPr>
          <w:p>
            <w:r>
              <w:t>Not V1 scope; offline before shutter is rejected</w:t>
            </w:r>
          </w:p>
        </w:tc>
        <w:tc>
          <w:tcPr>
            <w:tcW w:type="dxa" w:w="3346"/>
            <w:vAlign w:val="center"/>
          </w:tcPr>
          <w:p>
            <w:r>
              <w:t>LOCKED</w:t>
            </w:r>
          </w:p>
        </w:tc>
      </w:tr>
    </w:tbl>
    <w:p>
      <w:r>
        <w:rPr>
          <w:b/>
        </w:rPr>
        <w:t xml:space="preserve">Version policy. </w:t>
      </w:r>
      <w:r>
        <w:t>The baseline is pinned for reproducibility. A security patch may supersede the exact patch version through an approved dependency PR with lint, typecheck, tests, production build, and regression checks. Major/minor changes require explicit architecture review.</w:t>
      </w:r>
    </w:p>
    <w:p>
      <w:pPr>
        <w:pStyle w:val="Heading1"/>
      </w:pPr>
      <w:r>
        <w:t>26. FE-0 / FE-1 mapping for this package</w:t>
      </w:r>
    </w:p>
    <w:p>
      <w:r>
        <w:t>This package is an input to FE-0. It does not authorize skipping FE-0 or beginning H01 feature coding immediately. H01 belongs to FE-2 Public + Auth after FE-0 Bootstrap and FE-1 Shared Foundation are green.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3346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346"/>
            <w:vAlign w:val="center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3346"/>
            <w:vAlign w:val="center"/>
          </w:tcPr>
          <w:p>
            <w:r>
              <w:rPr>
                <w:b/>
              </w:rPr>
              <w:t>Acceptance mapping</w:t>
            </w:r>
          </w:p>
        </w:tc>
      </w:tr>
      <w:tr>
        <w:tc>
          <w:tcPr>
            <w:tcW w:type="dxa" w:w="3346"/>
            <w:vAlign w:val="center"/>
          </w:tcPr>
          <w:p>
            <w:r>
              <w:t>FE-0.4</w:t>
            </w:r>
          </w:p>
        </w:tc>
        <w:tc>
          <w:tcPr>
            <w:tcW w:type="dxa" w:w="3346"/>
            <w:vAlign w:val="center"/>
          </w:tcPr>
          <w:p>
            <w:r>
              <w:t>Next.js master app</w:t>
            </w:r>
          </w:p>
        </w:tc>
        <w:tc>
          <w:tcPr>
            <w:tcW w:type="dxa" w:w="3346"/>
            <w:vAlign w:val="center"/>
          </w:tcPr>
          <w:p>
            <w:r>
              <w:t>Next.js 16.3.6, React 19.3.0, TypeScript, App Router, src directory, alias.</w:t>
            </w:r>
          </w:p>
        </w:tc>
      </w:tr>
      <w:tr>
        <w:tc>
          <w:tcPr>
            <w:tcW w:type="dxa" w:w="3346"/>
            <w:vAlign w:val="center"/>
          </w:tcPr>
          <w:p>
            <w:r>
              <w:t>FE-0.5</w:t>
            </w:r>
          </w:p>
        </w:tc>
        <w:tc>
          <w:tcPr>
            <w:tcW w:type="dxa" w:w="3346"/>
            <w:vAlign w:val="center"/>
          </w:tcPr>
          <w:p>
            <w:r>
              <w:t>Dependencies</w:t>
            </w:r>
          </w:p>
        </w:tc>
        <w:tc>
          <w:tcPr>
            <w:tcW w:type="dxa" w:w="3346"/>
            <w:vAlign w:val="center"/>
          </w:tcPr>
          <w:p>
            <w:r>
              <w:t>Install only the locked baseline and tooling actually required by this package.</w:t>
            </w:r>
          </w:p>
        </w:tc>
      </w:tr>
      <w:tr>
        <w:tc>
          <w:tcPr>
            <w:tcW w:type="dxa" w:w="3346"/>
            <w:vAlign w:val="center"/>
          </w:tcPr>
          <w:p>
            <w:r>
              <w:t>FE-0.7</w:t>
            </w:r>
          </w:p>
        </w:tc>
        <w:tc>
          <w:tcPr>
            <w:tcW w:type="dxa" w:w="3346"/>
            <w:vAlign w:val="center"/>
          </w:tcPr>
          <w:p>
            <w:r>
              <w:t>OpenAPI</w:t>
            </w:r>
          </w:p>
        </w:tc>
        <w:tc>
          <w:tcPr>
            <w:tcW w:type="dxa" w:w="3346"/>
            <w:vAlign w:val="center"/>
          </w:tcPr>
          <w:p>
            <w:r>
              <w:t>Orval 8.36.0 generates client/types from OpenAPI v1; freshness/drift check runs in CI.</w:t>
            </w:r>
          </w:p>
        </w:tc>
      </w:tr>
      <w:tr>
        <w:tc>
          <w:tcPr>
            <w:tcW w:type="dxa" w:w="3346"/>
            <w:vAlign w:val="center"/>
          </w:tcPr>
          <w:p>
            <w:r>
              <w:t>FE-0.8</w:t>
            </w:r>
          </w:p>
        </w:tc>
        <w:tc>
          <w:tcPr>
            <w:tcW w:type="dxa" w:w="3346"/>
            <w:vAlign w:val="center"/>
          </w:tcPr>
          <w:p>
            <w:r>
              <w:t>Quality commands</w:t>
            </w:r>
          </w:p>
        </w:tc>
        <w:tc>
          <w:tcPr>
            <w:tcW w:type="dxa" w:w="3346"/>
            <w:vAlign w:val="center"/>
          </w:tcPr>
          <w:p>
            <w:r>
              <w:t>dev, lint, typecheck, test, build must exist and pass.</w:t>
            </w:r>
          </w:p>
        </w:tc>
      </w:tr>
      <w:tr>
        <w:tc>
          <w:tcPr>
            <w:tcW w:type="dxa" w:w="3346"/>
            <w:vAlign w:val="center"/>
          </w:tcPr>
          <w:p>
            <w:r>
              <w:t>FE-0.11</w:t>
            </w:r>
          </w:p>
        </w:tc>
        <w:tc>
          <w:tcPr>
            <w:tcW w:type="dxa" w:w="3346"/>
            <w:vAlign w:val="center"/>
          </w:tcPr>
          <w:p>
            <w:r>
              <w:t>Design-system shell</w:t>
            </w:r>
          </w:p>
        </w:tc>
        <w:tc>
          <w:tcPr>
            <w:tcW w:type="dxa" w:w="3346"/>
            <w:vAlign w:val="center"/>
          </w:tcPr>
          <w:p>
            <w:r>
              <w:t>Wire semantic tokens, Tailwind baseline, Space Grotesk, Plus Jakarta Sans, Lucide, motion primitives, theme provider, localization provider, and base UI components.</w:t>
            </w:r>
          </w:p>
        </w:tc>
      </w:tr>
      <w:tr>
        <w:tc>
          <w:tcPr>
            <w:tcW w:type="dxa" w:w="3346"/>
            <w:vAlign w:val="center"/>
          </w:tcPr>
          <w:p>
            <w:r>
              <w:t>FE-0.12</w:t>
            </w:r>
          </w:p>
        </w:tc>
        <w:tc>
          <w:tcPr>
            <w:tcW w:type="dxa" w:w="3346"/>
            <w:vAlign w:val="center"/>
          </w:tcPr>
          <w:p>
            <w:r>
              <w:t>Smoke screen</w:t>
            </w:r>
          </w:p>
        </w:tc>
        <w:tc>
          <w:tcPr>
            <w:tcW w:type="dxa" w:w="3346"/>
            <w:vAlign w:val="center"/>
          </w:tcPr>
          <w:p>
            <w:r>
              <w:t>Render App Shell + one responsive reference route proving assets, theme, locale, fonts and build pipeline.</w:t>
            </w:r>
          </w:p>
        </w:tc>
      </w:tr>
      <w:tr>
        <w:tc>
          <w:tcPr>
            <w:tcW w:type="dxa" w:w="3346"/>
            <w:vAlign w:val="center"/>
          </w:tcPr>
          <w:p>
            <w:r>
              <w:t>FE-1</w:t>
            </w:r>
          </w:p>
        </w:tc>
        <w:tc>
          <w:tcPr>
            <w:tcW w:type="dxa" w:w="3346"/>
            <w:vAlign w:val="center"/>
          </w:tcPr>
          <w:p>
            <w:r>
              <w:t>Shared foundation</w:t>
            </w:r>
          </w:p>
        </w:tc>
        <w:tc>
          <w:tcPr>
            <w:tcW w:type="dxa" w:w="3346"/>
            <w:vAlign w:val="center"/>
          </w:tcPr>
          <w:p>
            <w:r>
              <w:t>App shells, navigation, layout primitives, loading/error/empty patterns, core components, and coded UI states.</w:t>
            </w:r>
          </w:p>
        </w:tc>
      </w:tr>
      <w:tr>
        <w:tc>
          <w:tcPr>
            <w:tcW w:type="dxa" w:w="3346"/>
            <w:vAlign w:val="center"/>
          </w:tcPr>
          <w:p>
            <w:r>
              <w:t>FE-2</w:t>
            </w:r>
          </w:p>
        </w:tc>
        <w:tc>
          <w:tcPr>
            <w:tcW w:type="dxa" w:w="3346"/>
            <w:vAlign w:val="center"/>
          </w:tcPr>
          <w:p>
            <w:r>
              <w:t>Public + Auth</w:t>
            </w:r>
          </w:p>
        </w:tc>
        <w:tc>
          <w:tcPr>
            <w:tcW w:type="dxa" w:w="3346"/>
            <w:vAlign w:val="center"/>
          </w:tcPr>
          <w:p>
            <w:r>
              <w:t>Implement H01 and public/auth surfaces using the approved high-fi and exact H01 contract in this package.</w:t>
            </w:r>
          </w:p>
        </w:tc>
      </w:tr>
    </w:tbl>
    <w:p>
      <w:pPr>
        <w:pStyle w:val="Heading1"/>
      </w:pPr>
      <w:r>
        <w:t>27. Cross-product UI state patterns</w:t>
      </w:r>
    </w:p>
    <w:p>
      <w:r>
        <w:t>These are reusable presentation patterns required by the locked Frontend Development Handoff. They define UI behavior only; server authorization, time, quota, lifecycle, payment, and media status remain authoritative.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3346"/>
            <w:vAlign w:val="center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3346"/>
            <w:vAlign w:val="cente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3346"/>
            <w:vAlign w:val="center"/>
          </w:tcPr>
          <w:p>
            <w:r>
              <w:rPr>
                <w:b/>
              </w:rPr>
              <w:t>UI contract</w:t>
            </w:r>
          </w:p>
        </w:tc>
      </w:tr>
      <w:tr>
        <w:tc>
          <w:tcPr>
            <w:tcW w:type="dxa" w:w="3346"/>
            <w:vAlign w:val="center"/>
          </w:tcPr>
          <w:p>
            <w:r>
              <w:t>Loading</w:t>
            </w:r>
          </w:p>
        </w:tc>
        <w:tc>
          <w:tcPr>
            <w:tcW w:type="dxa" w:w="3346"/>
            <w:vAlign w:val="center"/>
          </w:tcPr>
          <w:p>
            <w:r>
              <w:t>Initial or async fetch</w:t>
            </w:r>
          </w:p>
        </w:tc>
        <w:tc>
          <w:tcPr>
            <w:tcW w:type="dxa" w:w="3346"/>
            <w:vAlign w:val="center"/>
          </w:tcPr>
          <w:p>
            <w:r>
              <w:t>Preserve layout where possible; use skeleton/progress appropriate to task; never fake success.</w:t>
            </w:r>
          </w:p>
        </w:tc>
      </w:tr>
      <w:tr>
        <w:tc>
          <w:tcPr>
            <w:tcW w:type="dxa" w:w="3346"/>
            <w:vAlign w:val="center"/>
          </w:tcPr>
          <w:p>
            <w:r>
              <w:t>Empty</w:t>
            </w:r>
          </w:p>
        </w:tc>
        <w:tc>
          <w:tcPr>
            <w:tcW w:type="dxa" w:w="3346"/>
            <w:vAlign w:val="center"/>
          </w:tcPr>
          <w:p>
            <w:r>
              <w:t>Valid response with no content</w:t>
            </w:r>
          </w:p>
        </w:tc>
        <w:tc>
          <w:tcPr>
            <w:tcW w:type="dxa" w:w="3346"/>
            <w:vAlign w:val="center"/>
          </w:tcPr>
          <w:p>
            <w:r>
              <w:t>Explain why the area is empty and provide the next permitted action when one exists.</w:t>
            </w:r>
          </w:p>
        </w:tc>
      </w:tr>
      <w:tr>
        <w:tc>
          <w:tcPr>
            <w:tcW w:type="dxa" w:w="3346"/>
            <w:vAlign w:val="center"/>
          </w:tcPr>
          <w:p>
            <w:r>
              <w:t>Recoverable error</w:t>
            </w:r>
          </w:p>
        </w:tc>
        <w:tc>
          <w:tcPr>
            <w:tcW w:type="dxa" w:w="3346"/>
            <w:vAlign w:val="center"/>
          </w:tcPr>
          <w:p>
            <w:r>
              <w:t>Network/server operation can be retried</w:t>
            </w:r>
          </w:p>
        </w:tc>
        <w:tc>
          <w:tcPr>
            <w:tcW w:type="dxa" w:w="3346"/>
            <w:vAlign w:val="center"/>
          </w:tcPr>
          <w:p>
            <w:r>
              <w:t>Plain-language message + explicit retry. Preserve user input when safe.</w:t>
            </w:r>
          </w:p>
        </w:tc>
      </w:tr>
      <w:tr>
        <w:tc>
          <w:tcPr>
            <w:tcW w:type="dxa" w:w="3346"/>
            <w:vAlign w:val="center"/>
          </w:tcPr>
          <w:p>
            <w:r>
              <w:t>401 / Re-auth</w:t>
            </w:r>
          </w:p>
        </w:tc>
        <w:tc>
          <w:tcPr>
            <w:tcW w:type="dxa" w:w="3346"/>
            <w:vAlign w:val="center"/>
          </w:tcPr>
          <w:p>
            <w:r>
              <w:t>Session missing/expired</w:t>
            </w:r>
          </w:p>
        </w:tc>
        <w:tc>
          <w:tcPr>
            <w:tcW w:type="dxa" w:w="3346"/>
            <w:vAlign w:val="center"/>
          </w:tcPr>
          <w:p>
            <w:r>
              <w:t>Route or prompt through the defined re-auth flow; do not blindly retry.</w:t>
            </w:r>
          </w:p>
        </w:tc>
      </w:tr>
      <w:tr>
        <w:tc>
          <w:tcPr>
            <w:tcW w:type="dxa" w:w="3346"/>
            <w:vAlign w:val="center"/>
          </w:tcPr>
          <w:p>
            <w:r>
              <w:t>403 / Forbidden</w:t>
            </w:r>
          </w:p>
        </w:tc>
        <w:tc>
          <w:tcPr>
            <w:tcW w:type="dxa" w:w="3346"/>
            <w:vAlign w:val="center"/>
          </w:tcPr>
          <w:p>
            <w:r>
              <w:t>Authenticated but not permitted</w:t>
            </w:r>
          </w:p>
        </w:tc>
        <w:tc>
          <w:tcPr>
            <w:tcW w:type="dxa" w:w="3346"/>
            <w:vAlign w:val="center"/>
          </w:tcPr>
          <w:p>
            <w:r>
              <w:t>Explain unavailable action without revealing protected data; do not encode authorization only through hidden buttons.</w:t>
            </w:r>
          </w:p>
        </w:tc>
      </w:tr>
      <w:tr>
        <w:tc>
          <w:tcPr>
            <w:tcW w:type="dxa" w:w="3346"/>
            <w:vAlign w:val="center"/>
          </w:tcPr>
          <w:p>
            <w:r>
              <w:t>Permission denied</w:t>
            </w:r>
          </w:p>
        </w:tc>
        <w:tc>
          <w:tcPr>
            <w:tcW w:type="dxa" w:w="3346"/>
            <w:vAlign w:val="center"/>
          </w:tcPr>
          <w:p>
            <w:r>
              <w:t>Browser/device permission rejected</w:t>
            </w:r>
          </w:p>
        </w:tc>
        <w:tc>
          <w:tcPr>
            <w:tcW w:type="dxa" w:w="3346"/>
            <w:vAlign w:val="center"/>
          </w:tcPr>
          <w:p>
            <w:r>
              <w:t>Explain the permission needed and how to recover; never imply native-app permission.</w:t>
            </w:r>
          </w:p>
        </w:tc>
      </w:tr>
      <w:tr>
        <w:tc>
          <w:tcPr>
            <w:tcW w:type="dxa" w:w="3346"/>
            <w:vAlign w:val="center"/>
          </w:tcPr>
          <w:p>
            <w:r>
              <w:t>Camera unsupported</w:t>
            </w:r>
          </w:p>
        </w:tc>
        <w:tc>
          <w:tcPr>
            <w:tcW w:type="dxa" w:w="3346"/>
            <w:vAlign w:val="center"/>
          </w:tcPr>
          <w:p>
            <w:r>
              <w:t>Required capture capability unavailable</w:t>
            </w:r>
          </w:p>
        </w:tc>
        <w:tc>
          <w:tcPr>
            <w:tcW w:type="dxa" w:w="3346"/>
            <w:vAlign w:val="center"/>
          </w:tcPr>
          <w:p>
            <w:r>
              <w:t>Block capture and present supported recovery guidance. Do not expose gallery/file-picker fallback.</w:t>
            </w:r>
          </w:p>
        </w:tc>
      </w:tr>
      <w:tr>
        <w:tc>
          <w:tcPr>
            <w:tcW w:type="dxa" w:w="3346"/>
            <w:vAlign w:val="center"/>
          </w:tcPr>
          <w:p>
            <w:r>
              <w:t>Slow connection</w:t>
            </w:r>
          </w:p>
        </w:tc>
        <w:tc>
          <w:tcPr>
            <w:tcW w:type="dxa" w:w="3346"/>
            <w:vAlign w:val="center"/>
          </w:tcPr>
          <w:p>
            <w:r>
              <w:t>Upload/processing delayed</w:t>
            </w:r>
          </w:p>
        </w:tc>
        <w:tc>
          <w:tcPr>
            <w:tcW w:type="dxa" w:w="3346"/>
            <w:vAlign w:val="center"/>
          </w:tcPr>
          <w:p>
            <w:r>
              <w:t>Show durable progress/pending state; avoid duplicate submission.</w:t>
            </w:r>
          </w:p>
        </w:tc>
      </w:tr>
      <w:tr>
        <w:tc>
          <w:tcPr>
            <w:tcW w:type="dxa" w:w="3346"/>
            <w:vAlign w:val="center"/>
          </w:tcPr>
          <w:p>
            <w:r>
              <w:t>Quota full</w:t>
            </w:r>
          </w:p>
        </w:tc>
        <w:tc>
          <w:tcPr>
            <w:tcW w:type="dxa" w:w="3346"/>
            <w:vAlign w:val="center"/>
          </w:tcPr>
          <w:p>
            <w:r>
              <w:t>Server-authoritative quota reached</w:t>
            </w:r>
          </w:p>
        </w:tc>
        <w:tc>
          <w:tcPr>
            <w:tcW w:type="dxa" w:w="3346"/>
            <w:vAlign w:val="center"/>
          </w:tcPr>
          <w:p>
            <w:r>
              <w:t>Stop new capture reservation/action and show permitted Host upgrade/next step where applicable.</w:t>
            </w:r>
          </w:p>
        </w:tc>
      </w:tr>
      <w:tr>
        <w:tc>
          <w:tcPr>
            <w:tcW w:type="dxa" w:w="3346"/>
            <w:vAlign w:val="center"/>
          </w:tcPr>
          <w:p>
            <w:r>
              <w:t>Capture closed</w:t>
            </w:r>
          </w:p>
        </w:tc>
        <w:tc>
          <w:tcPr>
            <w:tcW w:type="dxa" w:w="3346"/>
            <w:vAlign w:val="center"/>
          </w:tcPr>
          <w:p>
            <w:r>
              <w:t>Event capture window ended</w:t>
            </w:r>
          </w:p>
        </w:tc>
        <w:tc>
          <w:tcPr>
            <w:tcW w:type="dxa" w:w="3346"/>
            <w:vAlign w:val="center"/>
          </w:tcPr>
          <w:p>
            <w:r>
              <w:t>Disable capture; communicate that reveal timing does not reopen camera access.</w:t>
            </w:r>
          </w:p>
        </w:tc>
      </w:tr>
      <w:tr>
        <w:tc>
          <w:tcPr>
            <w:tcW w:type="dxa" w:w="3346"/>
            <w:vAlign w:val="center"/>
          </w:tcPr>
          <w:p>
            <w:r>
              <w:t>Upload retry</w:t>
            </w:r>
          </w:p>
        </w:tc>
        <w:tc>
          <w:tcPr>
            <w:tcW w:type="dxa" w:w="3346"/>
            <w:vAlign w:val="center"/>
          </w:tcPr>
          <w:p>
            <w:r>
              <w:t>Captured media failed to complete transfer</w:t>
            </w:r>
          </w:p>
        </w:tc>
        <w:tc>
          <w:tcPr>
            <w:tcW w:type="dxa" w:w="3346"/>
            <w:vAlign w:val="center"/>
          </w:tcPr>
          <w:p>
            <w:r>
              <w:t>Allow controlled retry of the captured item; no gallery import fallback.</w:t>
            </w:r>
          </w:p>
        </w:tc>
      </w:tr>
      <w:tr>
        <w:tc>
          <w:tcPr>
            <w:tcW w:type="dxa" w:w="3346"/>
            <w:vAlign w:val="center"/>
          </w:tcPr>
          <w:p>
            <w:r>
              <w:t>Payment verifying</w:t>
            </w:r>
          </w:p>
        </w:tc>
        <w:tc>
          <w:tcPr>
            <w:tcW w:type="dxa" w:w="3346"/>
            <w:vAlign w:val="center"/>
          </w:tcPr>
          <w:p>
            <w:r>
              <w:t>Provider returned but server not yet normalized</w:t>
            </w:r>
          </w:p>
        </w:tc>
        <w:tc>
          <w:tcPr>
            <w:tcW w:type="dxa" w:w="3346"/>
            <w:vAlign w:val="center"/>
          </w:tcPr>
          <w:p>
            <w:r>
              <w:t>Never display success until Kepotret server confirms normalized status.</w:t>
            </w:r>
          </w:p>
        </w:tc>
      </w:tr>
      <w:tr>
        <w:tc>
          <w:tcPr>
            <w:tcW w:type="dxa" w:w="3346"/>
            <w:vAlign w:val="center"/>
          </w:tcPr>
          <w:p>
            <w:r>
              <w:t>Payment pending/failure/expired</w:t>
            </w:r>
          </w:p>
        </w:tc>
        <w:tc>
          <w:tcPr>
            <w:tcW w:type="dxa" w:w="3346"/>
            <w:vAlign w:val="center"/>
          </w:tcPr>
          <w:p>
            <w:r>
              <w:t>Server-normalized payment state</w:t>
            </w:r>
          </w:p>
        </w:tc>
        <w:tc>
          <w:tcPr>
            <w:tcW w:type="dxa" w:w="3346"/>
            <w:vAlign w:val="center"/>
          </w:tcPr>
          <w:p>
            <w:r>
              <w:t>Render distinct states and only actions allowed by API/business rules.</w:t>
            </w:r>
          </w:p>
        </w:tc>
      </w:tr>
      <w:tr>
        <w:tc>
          <w:tcPr>
            <w:tcW w:type="dxa" w:w="3346"/>
            <w:vAlign w:val="center"/>
          </w:tcPr>
          <w:p>
            <w:r>
              <w:t>Media unavailable</w:t>
            </w:r>
          </w:p>
        </w:tc>
        <w:tc>
          <w:tcPr>
            <w:tcW w:type="dxa" w:w="3346"/>
            <w:vAlign w:val="center"/>
          </w:tcPr>
          <w:p>
            <w:r>
              <w:t>Authorized media cannot be loaded</w:t>
            </w:r>
          </w:p>
        </w:tc>
        <w:tc>
          <w:tcPr>
            <w:tcW w:type="dxa" w:w="3346"/>
            <w:vAlign w:val="center"/>
          </w:tcPr>
          <w:p>
            <w:r>
              <w:t>Use Media Gateway error state; never fall back to permanent raw storage URL.</w:t>
            </w:r>
          </w:p>
        </w:tc>
      </w:tr>
      <w:tr>
        <w:tc>
          <w:tcPr>
            <w:tcW w:type="dxa" w:w="3346"/>
            <w:vAlign w:val="center"/>
          </w:tcPr>
          <w:p>
            <w:r>
              <w:t>Reduced motion</w:t>
            </w:r>
          </w:p>
        </w:tc>
        <w:tc>
          <w:tcPr>
            <w:tcW w:type="dxa" w:w="3346"/>
            <w:vAlign w:val="center"/>
          </w:tcPr>
          <w:p>
            <w:r>
              <w:t>prefers-reduced-motion</w:t>
            </w:r>
          </w:p>
        </w:tc>
        <w:tc>
          <w:tcPr>
            <w:tcW w:type="dxa" w:w="3346"/>
            <w:vAlign w:val="center"/>
          </w:tcPr>
          <w:p>
            <w:r>
              <w:t>Remove or shorten non-essential transitions while preserving state comprehension.</w:t>
            </w:r>
          </w:p>
        </w:tc>
      </w:tr>
    </w:tbl>
    <w:p>
      <w:pPr>
        <w:pStyle w:val="Heading1"/>
      </w:pPr>
      <w:r>
        <w:t>28. Component-to-code mapping</w:t>
      </w:r>
    </w:p>
    <w:p>
      <w:r>
        <w:t>Existing H/M/D/P/A/T/E/C/O registry codes remain authoritative. Do not introduce a parallel component-ID namespace. The code-layer mapping below is structural guidance; actual existing registry codes must be preserved in implementation notes, tests, Storybook/developer documentation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509"/>
            <w:vAlign w:val="center"/>
          </w:tcPr>
          <w:p>
            <w:r>
              <w:rPr>
                <w:b/>
              </w:rPr>
              <w:t>Component/pattern</w:t>
            </w:r>
          </w:p>
        </w:tc>
        <w:tc>
          <w:tcPr>
            <w:tcW w:type="dxa" w:w="2509"/>
            <w:vAlign w:val="center"/>
          </w:tcPr>
          <w:p>
            <w:r>
              <w:rPr>
                <w:b/>
              </w:rPr>
              <w:t>Recommended layer</w:t>
            </w:r>
          </w:p>
        </w:tc>
        <w:tc>
          <w:tcPr>
            <w:tcW w:type="dxa" w:w="2509"/>
            <w:vAlign w:val="center"/>
          </w:tcPr>
          <w:p>
            <w:r>
              <w:rPr>
                <w:b/>
              </w:rPr>
              <w:t>Rendering</w:t>
            </w:r>
          </w:p>
        </w:tc>
        <w:tc>
          <w:tcPr>
            <w:tcW w:type="dxa" w:w="2509"/>
            <w:vAlign w:val="center"/>
          </w:tcPr>
          <w:p>
            <w:r>
              <w:rPr>
                <w:b/>
              </w:rPr>
              <w:t>Contract</w:t>
            </w:r>
          </w:p>
        </w:tc>
      </w:tr>
      <w:tr>
        <w:tc>
          <w:tcPr>
            <w:tcW w:type="dxa" w:w="2509"/>
            <w:vAlign w:val="center"/>
          </w:tcPr>
          <w:p>
            <w:r>
              <w:t>SiteHeader / navigation</w:t>
            </w:r>
          </w:p>
        </w:tc>
        <w:tc>
          <w:tcPr>
            <w:tcW w:type="dxa" w:w="2509"/>
            <w:vAlign w:val="center"/>
          </w:tcPr>
          <w:p>
            <w:r>
              <w:t>components/ui + landing composition</w:t>
            </w:r>
          </w:p>
        </w:tc>
        <w:tc>
          <w:tcPr>
            <w:tcW w:type="dxa" w:w="2509"/>
            <w:vAlign w:val="center"/>
          </w:tcPr>
          <w:p>
            <w:r>
              <w:t>Client only where interaction requires it</w:t>
            </w:r>
          </w:p>
        </w:tc>
        <w:tc>
          <w:tcPr>
            <w:tcW w:type="dxa" w:w="2509"/>
            <w:vAlign w:val="center"/>
          </w:tcPr>
          <w:p>
            <w:r>
              <w:t>Theme, locale, mobile drawer, anchor navigation.</w:t>
            </w:r>
          </w:p>
        </w:tc>
      </w:tr>
      <w:tr>
        <w:tc>
          <w:tcPr>
            <w:tcW w:type="dxa" w:w="2509"/>
            <w:vAlign w:val="center"/>
          </w:tcPr>
          <w:p>
            <w:r>
              <w:t>Button / IconButton</w:t>
            </w:r>
          </w:p>
        </w:tc>
        <w:tc>
          <w:tcPr>
            <w:tcW w:type="dxa" w:w="2509"/>
            <w:vAlign w:val="center"/>
          </w:tcPr>
          <w:p>
            <w:r>
              <w:t>components/ui</w:t>
            </w:r>
          </w:p>
        </w:tc>
        <w:tc>
          <w:tcPr>
            <w:tcW w:type="dxa" w:w="2509"/>
            <w:vAlign w:val="center"/>
          </w:tcPr>
          <w:p>
            <w:r>
              <w:t>Server-compatible base</w:t>
            </w:r>
          </w:p>
        </w:tc>
        <w:tc>
          <w:tcPr>
            <w:tcW w:type="dxa" w:w="2509"/>
            <w:vAlign w:val="center"/>
          </w:tcPr>
          <w:p>
            <w:r>
              <w:t>Shared visual primitive; 44px minimum touch target where applicable.</w:t>
            </w:r>
          </w:p>
        </w:tc>
      </w:tr>
      <w:tr>
        <w:tc>
          <w:tcPr>
            <w:tcW w:type="dxa" w:w="2509"/>
            <w:vAlign w:val="center"/>
          </w:tcPr>
          <w:p>
            <w:r>
              <w:t>LanguageMenu</w:t>
            </w:r>
          </w:p>
        </w:tc>
        <w:tc>
          <w:tcPr>
            <w:tcW w:type="dxa" w:w="2509"/>
            <w:vAlign w:val="center"/>
          </w:tcPr>
          <w:p>
            <w:r>
              <w:t>components/ui or feature shell</w:t>
            </w:r>
          </w:p>
        </w:tc>
        <w:tc>
          <w:tcPr>
            <w:tcW w:type="dxa" w:w="2509"/>
            <w:vAlign w:val="center"/>
          </w:tcPr>
          <w:p>
            <w:r>
              <w:t>Client</w:t>
            </w:r>
          </w:p>
        </w:tc>
        <w:tc>
          <w:tcPr>
            <w:tcW w:type="dxa" w:w="2509"/>
            <w:vAlign w:val="center"/>
          </w:tcPr>
          <w:p>
            <w:r>
              <w:t>next-intl; ID default; EN supported; persisted selection.</w:t>
            </w:r>
          </w:p>
        </w:tc>
      </w:tr>
      <w:tr>
        <w:tc>
          <w:tcPr>
            <w:tcW w:type="dxa" w:w="2509"/>
            <w:vAlign w:val="center"/>
          </w:tcPr>
          <w:p>
            <w:r>
              <w:t>ThemeToggle</w:t>
            </w:r>
          </w:p>
        </w:tc>
        <w:tc>
          <w:tcPr>
            <w:tcW w:type="dxa" w:w="2509"/>
            <w:vAlign w:val="center"/>
          </w:tcPr>
          <w:p>
            <w:r>
              <w:t>components/ui</w:t>
            </w:r>
          </w:p>
        </w:tc>
        <w:tc>
          <w:tcPr>
            <w:tcW w:type="dxa" w:w="2509"/>
            <w:vAlign w:val="center"/>
          </w:tcPr>
          <w:p>
            <w:r>
              <w:t>Client</w:t>
            </w:r>
          </w:p>
        </w:tc>
        <w:tc>
          <w:tcPr>
            <w:tcW w:type="dxa" w:w="2509"/>
            <w:vAlign w:val="center"/>
          </w:tcPr>
          <w:p>
            <w:r>
              <w:t>next-themes; Light default; semantic tokens; avoid theme flash.</w:t>
            </w:r>
          </w:p>
        </w:tc>
      </w:tr>
      <w:tr>
        <w:tc>
          <w:tcPr>
            <w:tcW w:type="dxa" w:w="2509"/>
            <w:vAlign w:val="center"/>
          </w:tcPr>
          <w:p>
            <w:r>
              <w:t>FAQAccordion</w:t>
            </w:r>
          </w:p>
        </w:tc>
        <w:tc>
          <w:tcPr>
            <w:tcW w:type="dxa" w:w="2509"/>
            <w:vAlign w:val="center"/>
          </w:tcPr>
          <w:p>
            <w:r>
              <w:t>components/ui + landing data</w:t>
            </w:r>
          </w:p>
        </w:tc>
        <w:tc>
          <w:tcPr>
            <w:tcW w:type="dxa" w:w="2509"/>
            <w:vAlign w:val="center"/>
          </w:tcPr>
          <w:p>
            <w:r>
              <w:t>Client</w:t>
            </w:r>
          </w:p>
        </w:tc>
        <w:tc>
          <w:tcPr>
            <w:tcW w:type="dxa" w:w="2509"/>
            <w:vAlign w:val="center"/>
          </w:tcPr>
          <w:p>
            <w:r>
              <w:t>Semantic disclosure; keyboard/focus/expanded state.</w:t>
            </w:r>
          </w:p>
        </w:tc>
      </w:tr>
      <w:tr>
        <w:tc>
          <w:tcPr>
            <w:tcW w:type="dxa" w:w="2509"/>
            <w:vAlign w:val="center"/>
          </w:tcPr>
          <w:p>
            <w:r>
              <w:t>CapacitySelector</w:t>
            </w:r>
          </w:p>
        </w:tc>
        <w:tc>
          <w:tcPr>
            <w:tcW w:type="dxa" w:w="2509"/>
            <w:vAlign w:val="center"/>
          </w:tcPr>
          <w:p>
            <w:r>
              <w:t>features/albums or landing pricing composition</w:t>
            </w:r>
          </w:p>
        </w:tc>
        <w:tc>
          <w:tcPr>
            <w:tcW w:type="dxa" w:w="2509"/>
            <w:vAlign w:val="center"/>
          </w:tcPr>
          <w:p>
            <w:r>
              <w:t>Client</w:t>
            </w:r>
          </w:p>
        </w:tc>
        <w:tc>
          <w:tcPr>
            <w:tcW w:type="dxa" w:w="2509"/>
            <w:vAlign w:val="center"/>
          </w:tcPr>
          <w:p>
            <w:r>
              <w:t>Discrete 30/100/250/500/700/1K/10K values; not a continuous numeric scale.</w:t>
            </w:r>
          </w:p>
        </w:tc>
      </w:tr>
      <w:tr>
        <w:tc>
          <w:tcPr>
            <w:tcW w:type="dxa" w:w="2509"/>
            <w:vAlign w:val="center"/>
          </w:tcPr>
          <w:p>
            <w:r>
              <w:t>UseCaseCard / BenefitFeature</w:t>
            </w:r>
          </w:p>
        </w:tc>
        <w:tc>
          <w:tcPr>
            <w:tcW w:type="dxa" w:w="2509"/>
            <w:vAlign w:val="center"/>
          </w:tcPr>
          <w:p>
            <w:r>
              <w:t>components/domain or landing</w:t>
            </w:r>
          </w:p>
        </w:tc>
        <w:tc>
          <w:tcPr>
            <w:tcW w:type="dxa" w:w="2509"/>
            <w:vAlign w:val="center"/>
          </w:tcPr>
          <w:p>
            <w:r>
              <w:t>Server-compatible</w:t>
            </w:r>
          </w:p>
        </w:tc>
        <w:tc>
          <w:tcPr>
            <w:tcW w:type="dxa" w:w="2509"/>
            <w:vAlign w:val="center"/>
          </w:tcPr>
          <w:p>
            <w:r>
              <w:t>Photography-led; no unsupported product claims.</w:t>
            </w:r>
          </w:p>
        </w:tc>
      </w:tr>
      <w:tr>
        <w:tc>
          <w:tcPr>
            <w:tcW w:type="dxa" w:w="2509"/>
            <w:vAlign w:val="center"/>
          </w:tcPr>
          <w:p>
            <w:r>
              <w:t>Camera controls</w:t>
            </w:r>
          </w:p>
        </w:tc>
        <w:tc>
          <w:tcPr>
            <w:tcW w:type="dxa" w:w="2509"/>
            <w:vAlign w:val="center"/>
          </w:tcPr>
          <w:p>
            <w:r>
              <w:t>features/capture</w:t>
            </w:r>
          </w:p>
        </w:tc>
        <w:tc>
          <w:tcPr>
            <w:tcW w:type="dxa" w:w="2509"/>
            <w:vAlign w:val="center"/>
          </w:tcPr>
          <w:p>
            <w:r>
              <w:t>Client</w:t>
            </w:r>
          </w:p>
        </w:tc>
        <w:tc>
          <w:tcPr>
            <w:tcW w:type="dxa" w:w="2509"/>
            <w:vAlign w:val="center"/>
          </w:tcPr>
          <w:p>
            <w:r>
              <w:t>Function-first; browser camera only; first-class permission/error/retry states.</w:t>
            </w:r>
          </w:p>
        </w:tc>
      </w:tr>
      <w:tr>
        <w:tc>
          <w:tcPr>
            <w:tcW w:type="dxa" w:w="2509"/>
            <w:vAlign w:val="center"/>
          </w:tcPr>
          <w:p>
            <w:r>
              <w:t>Gallery modules</w:t>
            </w:r>
          </w:p>
        </w:tc>
        <w:tc>
          <w:tcPr>
            <w:tcW w:type="dxa" w:w="2509"/>
            <w:vAlign w:val="center"/>
          </w:tcPr>
          <w:p>
            <w:r>
              <w:t>features/gallery</w:t>
            </w:r>
          </w:p>
        </w:tc>
        <w:tc>
          <w:tcPr>
            <w:tcW w:type="dxa" w:w="2509"/>
            <w:vAlign w:val="center"/>
          </w:tcPr>
          <w:p>
            <w:r>
              <w:t>Mixed</w:t>
            </w:r>
          </w:p>
        </w:tc>
        <w:tc>
          <w:tcPr>
            <w:tcW w:type="dxa" w:w="2509"/>
            <w:vAlign w:val="center"/>
          </w:tcPr>
          <w:p>
            <w:r>
              <w:t>Cursor pagination/lazy loading; never load entire large gallery.</w:t>
            </w:r>
          </w:p>
        </w:tc>
      </w:tr>
      <w:tr>
        <w:tc>
          <w:tcPr>
            <w:tcW w:type="dxa" w:w="2509"/>
            <w:vAlign w:val="center"/>
          </w:tcPr>
          <w:p>
            <w:r>
              <w:t>Payment status</w:t>
            </w:r>
          </w:p>
        </w:tc>
        <w:tc>
          <w:tcPr>
            <w:tcW w:type="dxa" w:w="2509"/>
            <w:vAlign w:val="center"/>
          </w:tcPr>
          <w:p>
            <w:r>
              <w:t>features/payments</w:t>
            </w:r>
          </w:p>
        </w:tc>
        <w:tc>
          <w:tcPr>
            <w:tcW w:type="dxa" w:w="2509"/>
            <w:vAlign w:val="center"/>
          </w:tcPr>
          <w:p>
            <w:r>
              <w:t>Mixed</w:t>
            </w:r>
          </w:p>
        </w:tc>
        <w:tc>
          <w:tcPr>
            <w:tcW w:type="dxa" w:w="2509"/>
            <w:vAlign w:val="center"/>
          </w:tcPr>
          <w:p>
            <w:r>
              <w:t>Server-authoritative normalized payment status.</w:t>
            </w:r>
          </w:p>
        </w:tc>
      </w:tr>
      <w:tr>
        <w:tc>
          <w:tcPr>
            <w:tcW w:type="dxa" w:w="2509"/>
            <w:vAlign w:val="center"/>
          </w:tcPr>
          <w:p>
            <w:r>
              <w:t>AssistantLauncher</w:t>
            </w:r>
          </w:p>
        </w:tc>
        <w:tc>
          <w:tcPr>
            <w:tcW w:type="dxa" w:w="2509"/>
            <w:vAlign w:val="center"/>
          </w:tcPr>
          <w:p>
            <w:r>
              <w:t>features/ai</w:t>
            </w:r>
          </w:p>
        </w:tc>
        <w:tc>
          <w:tcPr>
            <w:tcW w:type="dxa" w:w="2509"/>
            <w:vAlign w:val="center"/>
          </w:tcPr>
          <w:p>
            <w:r>
              <w:t>Client</w:t>
            </w:r>
          </w:p>
        </w:tc>
        <w:tc>
          <w:tcPr>
            <w:tcW w:type="dxa" w:w="2509"/>
            <w:vAlign w:val="center"/>
          </w:tcPr>
          <w:p>
            <w:r>
              <w:t>No auto-open; no secrets/private content in observability.</w:t>
            </w:r>
          </w:p>
        </w:tc>
      </w:tr>
    </w:tbl>
    <w:p>
      <w:pPr>
        <w:pStyle w:val="Heading1"/>
      </w:pPr>
      <w:r>
        <w:t>29. Locked source-of-truth hierarchy</w:t>
      </w:r>
    </w:p>
    <w:p>
      <w:r>
        <w:t>1. Frontend Handoff Package + final high-fi/UI system — visual layout, responsive behavior, components, tokens, UI codes and screen states.</w:t>
      </w:r>
    </w:p>
    <w:p>
      <w:r>
        <w:t>2. OpenAPI v1 Baseline — endpoints, generated request/response types, auth boundary and error contract.</w:t>
      </w:r>
    </w:p>
    <w:p>
      <w:r>
        <w:t>3. Technology &amp; Provider Selection v0.2 Final — programming stack family, environment, providers, CI/CD and technology constraints.</w:t>
      </w:r>
    </w:p>
    <w:p>
      <w:r>
        <w:t>4. Permission / PRD / BPMN / API Contract — business rules and authorization semantics.</w:t>
      </w:r>
    </w:p>
    <w:p>
      <w:r>
        <w:t>5. Frontend Development Handoff v1.1 LOCKED — bootstrap and implementation conventions; it does not override locked product/API rules.</w:t>
      </w:r>
    </w:p>
    <w:p>
      <w:r>
        <w:rPr>
          <w:b/>
        </w:rPr>
        <w:t xml:space="preserve">Conflict rule: </w:t>
      </w:r>
      <w:r>
        <w:t>if two authorities appear inconsistent, stop and raise the conflict. Do not silently reinterpret a locked rule.</w:t>
      </w:r>
    </w:p>
    <w:p>
      <w:pPr>
        <w:pStyle w:val="Heading1"/>
      </w:pPr>
      <w:r>
        <w:t>30. Package handoff checklist</w:t>
      </w:r>
    </w:p>
    <w:p>
      <w:r>
        <w:t>☐ Approved H01 visual reference is included and treated as composition/hierarchy reference, not as an image to reproduce as a single page bitmap.</w:t>
      </w:r>
    </w:p>
    <w:p>
      <w:r>
        <w:t>☐ Exact H01 ID copy remains the implementation source; English is supported architecturally and must be supplied/approved through localization content before claiming EN copy is final.</w:t>
      </w:r>
    </w:p>
    <w:p>
      <w:r>
        <w:t>☐ Light is default; Dark is supported through semantic tokens and next-themes.</w:t>
      </w:r>
    </w:p>
    <w:p>
      <w:r>
        <w:t>☐ Bahasa Indonesia is default; ID/EN switching uses next-intl and copy is externalized.</w:t>
      </w:r>
    </w:p>
    <w:p>
      <w:r>
        <w:t>☐ Tailwind CSS 4.3.3 is wired to semantic design tokens; arbitrary one-off values do not replace system tokens without justification.</w:t>
      </w:r>
    </w:p>
    <w:p>
      <w:r>
        <w:t>☐ Lucide icon use is consistent; brand logo remains the official asset and is never reconstructed from an icon/font.</w:t>
      </w:r>
    </w:p>
    <w:p>
      <w:r>
        <w:t>☐ Motion is purposeful, restrained, and reduced-motion safe.</w:t>
      </w:r>
    </w:p>
    <w:p>
      <w:r>
        <w:t>☐ OpenAPI-generated client/types are used; duplicate handwritten API DTOs are prohibited.</w:t>
      </w:r>
    </w:p>
    <w:p>
      <w:r>
        <w:t>☐ Auth/access tokens are never stored in localStorage.</w:t>
      </w:r>
    </w:p>
    <w:p>
      <w:r>
        <w:t>☐ H01 product truth is preserved: camera-only participant contribution, no gallery/file-picker contribution fallback, 10,000-photo maximum, reveal D+1/D+3/D+5/D+7, and upgrade cutoff 120 minutes before event end.</w:t>
      </w:r>
    </w:p>
    <w:p>
      <w:r>
        <w:t>☐ FE-0 exit criteria are green before feature coding; FE-1 shared foundation precedes FE-2 H01 implementation.</w:t>
      </w:r>
    </w:p>
    <w:p>
      <w:pPr>
        <w:pStyle w:val="Heading1"/>
      </w:pPr>
      <w:r>
        <w:t>31. Final package status</w:t>
      </w:r>
    </w:p>
    <w:p>
      <w:r>
        <w:rPr>
          <w:b/>
        </w:rPr>
        <w:t>LOCKED / READY AS FRONTEND HANDOFF PACKAGE INPUT</w:t>
      </w:r>
    </w:p>
    <w:p>
      <w:r>
        <w:t>The design and implementation specification in this document is ready to be consumed by FE-0 and FE-1. H01 feature coding begins in FE-2 only after the mandatory bootstrap and shared-foundation gates pass. Future refinements should occur through implementation QA unless a real source-of-truth conflict is found.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9" w:h="16834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6B6B6B"/>
        <w:sz w:val="14"/>
      </w:rPr>
      <w:t>Internal implementation handoff • 24 September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b/>
        <w:color w:val="6B6B6B"/>
        <w:sz w:val="14"/>
      </w:rPr>
      <w:t>KEPOTRET  /  H01 FRONTEND DEVELOPER HANDOFF  /  v1.0 FINAL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Kepotret H01 Landing Page — Frontend Developer Handoff v1.0 Final</dc:title>
  <dc:subject>Locked H01 UI/UX frontend developer handoff for Next.js + React + TypeScript implementation</dc:subject>
  <dc:creator>Kepotret Product / UI-UX</dc:creator>
  <cp:keywords>Kepotret, H01, landing page, Next.js, React, TypeScript, UI/UX, developer handoff</cp:keywords>
  <dc:description>Final H01 implementation handoff after Checkpoint 8.4 design freeze.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