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shd w:val="clear" w:color="auto" w:fill="BFBFBF" w:themeFill="background1" w:themeFillShade="BF"/>
        <w:tblLook w:val="04A0" w:firstRow="1" w:lastRow="0" w:firstColumn="1" w:lastColumn="0" w:noHBand="0" w:noVBand="1"/>
      </w:tblPr>
      <w:tblGrid>
        <w:gridCol w:w="10763"/>
      </w:tblGrid>
      <w:tr w:rsidR="00CC46BB" w:rsidRPr="00AB0CF5" w14:paraId="7DD2F3F8" w14:textId="77777777" w:rsidTr="000F66B8">
        <w:trPr>
          <w:trHeight w:val="321"/>
        </w:trPr>
        <w:tc>
          <w:tcPr>
            <w:tcW w:w="10763" w:type="dxa"/>
            <w:shd w:val="clear" w:color="auto" w:fill="BFBFBF" w:themeFill="background1" w:themeFillShade="BF"/>
            <w:vAlign w:val="center"/>
          </w:tcPr>
          <w:p w14:paraId="3C90106D" w14:textId="351F094C" w:rsidR="00CC46BB" w:rsidRPr="000F66B8" w:rsidRDefault="00CC46BB" w:rsidP="000F66B8">
            <w:pPr>
              <w:rPr>
                <w:b/>
                <w:bCs/>
                <w:sz w:val="24"/>
                <w:szCs w:val="24"/>
                <w:lang w:val="en-US"/>
              </w:rPr>
            </w:pPr>
            <w:r w:rsidRPr="000F66B8">
              <w:rPr>
                <w:b/>
                <w:bCs/>
                <w:sz w:val="24"/>
                <w:szCs w:val="24"/>
                <w:lang w:val="en-US"/>
              </w:rPr>
              <w:t>1</w:t>
            </w:r>
            <w:r w:rsidR="00736B47">
              <w:rPr>
                <w:b/>
                <w:bCs/>
                <w:sz w:val="24"/>
                <w:szCs w:val="24"/>
                <w:lang w:val="en-US"/>
              </w:rPr>
              <w:t>.1</w:t>
            </w:r>
            <w:r w:rsidRPr="000F66B8">
              <w:rPr>
                <w:b/>
                <w:bCs/>
                <w:sz w:val="24"/>
                <w:szCs w:val="24"/>
                <w:lang w:val="en-US"/>
              </w:rPr>
              <w:t xml:space="preserve"> </w:t>
            </w:r>
            <w:r w:rsidR="000F66B8" w:rsidRPr="000F66B8">
              <w:rPr>
                <w:b/>
                <w:bCs/>
                <w:sz w:val="24"/>
                <w:szCs w:val="24"/>
                <w:lang w:val="en-US"/>
              </w:rPr>
              <w:t>–</w:t>
            </w:r>
            <w:r w:rsidR="00296B40">
              <w:rPr>
                <w:b/>
                <w:bCs/>
                <w:sz w:val="24"/>
                <w:szCs w:val="24"/>
                <w:lang w:val="en-US"/>
              </w:rPr>
              <w:t xml:space="preserve"> </w:t>
            </w:r>
            <w:r w:rsidR="00410225">
              <w:rPr>
                <w:b/>
                <w:bCs/>
                <w:sz w:val="24"/>
                <w:szCs w:val="24"/>
                <w:lang w:val="en-US"/>
              </w:rPr>
              <w:t xml:space="preserve">Relation between </w:t>
            </w:r>
            <w:r w:rsidR="00D32368">
              <w:rPr>
                <w:b/>
                <w:bCs/>
                <w:sz w:val="24"/>
                <w:szCs w:val="24"/>
                <w:lang w:val="en-US"/>
              </w:rPr>
              <w:t>Business Domain</w:t>
            </w:r>
            <w:r w:rsidR="00410225">
              <w:rPr>
                <w:b/>
                <w:bCs/>
                <w:sz w:val="24"/>
                <w:szCs w:val="24"/>
                <w:lang w:val="en-US"/>
              </w:rPr>
              <w:t xml:space="preserve"> </w:t>
            </w:r>
            <w:r w:rsidR="00F11060">
              <w:rPr>
                <w:b/>
                <w:bCs/>
                <w:sz w:val="24"/>
                <w:szCs w:val="24"/>
                <w:lang w:val="en-US"/>
              </w:rPr>
              <w:t>Insurance</w:t>
            </w:r>
            <w:r w:rsidR="00410225">
              <w:rPr>
                <w:b/>
                <w:bCs/>
                <w:sz w:val="24"/>
                <w:szCs w:val="24"/>
                <w:lang w:val="en-US"/>
              </w:rPr>
              <w:t xml:space="preserve"> + Driver </w:t>
            </w:r>
            <w:r w:rsidR="00F11060">
              <w:rPr>
                <w:b/>
                <w:bCs/>
                <w:sz w:val="24"/>
                <w:szCs w:val="24"/>
                <w:lang w:val="en-US"/>
              </w:rPr>
              <w:t>Sensors</w:t>
            </w:r>
            <w:r w:rsidR="00296B40">
              <w:rPr>
                <w:b/>
                <w:bCs/>
                <w:sz w:val="24"/>
                <w:szCs w:val="24"/>
                <w:lang w:val="en-US"/>
              </w:rPr>
              <w:t xml:space="preserve"> (</w:t>
            </w:r>
            <w:r w:rsidR="00296B40" w:rsidRPr="000F66B8">
              <w:rPr>
                <w:b/>
                <w:bCs/>
                <w:sz w:val="24"/>
                <w:szCs w:val="24"/>
                <w:lang w:val="en-US"/>
              </w:rPr>
              <w:t>Concept Map</w:t>
            </w:r>
            <w:r w:rsidR="00296B40">
              <w:rPr>
                <w:b/>
                <w:bCs/>
                <w:sz w:val="24"/>
                <w:szCs w:val="24"/>
                <w:lang w:val="en-US"/>
              </w:rPr>
              <w:t>)</w:t>
            </w:r>
          </w:p>
        </w:tc>
      </w:tr>
    </w:tbl>
    <w:p w14:paraId="245D6209" w14:textId="301711FC" w:rsidR="007F7550" w:rsidRDefault="00F11060" w:rsidP="00C1213D">
      <w:pPr>
        <w:rPr>
          <w:lang w:val="en-US"/>
        </w:rPr>
      </w:pPr>
      <w:r>
        <w:rPr>
          <w:noProof/>
          <w:lang w:val="en-US"/>
        </w:rPr>
        <w:drawing>
          <wp:anchor distT="0" distB="0" distL="114300" distR="114300" simplePos="0" relativeHeight="251658240" behindDoc="1" locked="0" layoutInCell="1" allowOverlap="1" wp14:anchorId="60354198" wp14:editId="0829365C">
            <wp:simplePos x="0" y="0"/>
            <wp:positionH relativeFrom="margin">
              <wp:align>center</wp:align>
            </wp:positionH>
            <wp:positionV relativeFrom="paragraph">
              <wp:posOffset>286385</wp:posOffset>
            </wp:positionV>
            <wp:extent cx="6185535" cy="3703320"/>
            <wp:effectExtent l="0" t="0" r="0" b="5080"/>
            <wp:wrapTight wrapText="bothSides">
              <wp:wrapPolygon edited="0">
                <wp:start x="0" y="0"/>
                <wp:lineTo x="0" y="21556"/>
                <wp:lineTo x="21553" y="21556"/>
                <wp:lineTo x="21553" y="0"/>
                <wp:lineTo x="0" y="0"/>
              </wp:wrapPolygon>
            </wp:wrapTight>
            <wp:docPr id="85991837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18371" name="Picture 2"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5535" cy="3703320"/>
                    </a:xfrm>
                    <a:prstGeom prst="rect">
                      <a:avLst/>
                    </a:prstGeom>
                  </pic:spPr>
                </pic:pic>
              </a:graphicData>
            </a:graphic>
            <wp14:sizeRelH relativeFrom="page">
              <wp14:pctWidth>0</wp14:pctWidth>
            </wp14:sizeRelH>
            <wp14:sizeRelV relativeFrom="page">
              <wp14:pctHeight>0</wp14:pctHeight>
            </wp14:sizeRelV>
          </wp:anchor>
        </w:drawing>
      </w:r>
    </w:p>
    <w:p w14:paraId="604656CA" w14:textId="057C7E7E" w:rsidR="00964DEA" w:rsidRDefault="00964DEA" w:rsidP="00C1213D">
      <w:pPr>
        <w:rPr>
          <w:lang w:val="en-US"/>
        </w:rPr>
      </w:pPr>
    </w:p>
    <w:p w14:paraId="555DA4EF" w14:textId="77777777" w:rsidR="00F11060" w:rsidRDefault="00F11060" w:rsidP="00C1213D">
      <w:pPr>
        <w:rPr>
          <w:lang w:val="en-US"/>
        </w:rPr>
      </w:pPr>
    </w:p>
    <w:p w14:paraId="3DEE374A" w14:textId="77777777" w:rsidR="00F11060" w:rsidRDefault="00F11060" w:rsidP="00C1213D">
      <w:pPr>
        <w:rPr>
          <w:lang w:val="en-US"/>
        </w:rPr>
      </w:pPr>
    </w:p>
    <w:p w14:paraId="07BA4E69" w14:textId="77777777" w:rsidR="00F11060" w:rsidRPr="00727828" w:rsidRDefault="00F11060" w:rsidP="00C1213D">
      <w:pPr>
        <w:rPr>
          <w:lang w:val="en-US"/>
        </w:rPr>
      </w:pPr>
    </w:p>
    <w:tbl>
      <w:tblPr>
        <w:tblStyle w:val="TableGrid"/>
        <w:tblW w:w="0" w:type="auto"/>
        <w:tblLook w:val="04A0" w:firstRow="1" w:lastRow="0" w:firstColumn="1" w:lastColumn="0" w:noHBand="0" w:noVBand="1"/>
      </w:tblPr>
      <w:tblGrid>
        <w:gridCol w:w="1696"/>
        <w:gridCol w:w="9067"/>
      </w:tblGrid>
      <w:tr w:rsidR="009865BB" w:rsidRPr="00AB0CF5" w14:paraId="75E0D920" w14:textId="77777777" w:rsidTr="007F7550">
        <w:tc>
          <w:tcPr>
            <w:tcW w:w="1696" w:type="dxa"/>
            <w:shd w:val="clear" w:color="auto" w:fill="BFBFBF" w:themeFill="background1" w:themeFillShade="BF"/>
          </w:tcPr>
          <w:p w14:paraId="3BA7BA08" w14:textId="3685E64A" w:rsidR="009865BB" w:rsidRPr="00F736FD" w:rsidRDefault="00BC3C17" w:rsidP="00BC3C17">
            <w:pPr>
              <w:jc w:val="center"/>
              <w:rPr>
                <w:b/>
                <w:bCs/>
                <w:lang w:val="en-US"/>
              </w:rPr>
            </w:pPr>
            <w:r w:rsidRPr="00F736FD">
              <w:rPr>
                <w:b/>
                <w:bCs/>
                <w:lang w:val="en-US"/>
              </w:rPr>
              <w:t>Concept</w:t>
            </w:r>
          </w:p>
        </w:tc>
        <w:tc>
          <w:tcPr>
            <w:tcW w:w="9067" w:type="dxa"/>
            <w:shd w:val="clear" w:color="auto" w:fill="BFBFBF" w:themeFill="background1" w:themeFillShade="BF"/>
          </w:tcPr>
          <w:p w14:paraId="2C989D8C" w14:textId="2B045694" w:rsidR="009865BB" w:rsidRPr="00F736FD" w:rsidRDefault="00BC3C17" w:rsidP="00BC3C17">
            <w:pPr>
              <w:jc w:val="center"/>
              <w:rPr>
                <w:b/>
                <w:bCs/>
                <w:lang w:val="en-US"/>
              </w:rPr>
            </w:pPr>
            <w:r w:rsidRPr="00F736FD">
              <w:rPr>
                <w:b/>
                <w:bCs/>
                <w:lang w:val="en-US"/>
              </w:rPr>
              <w:t>Definition (one sentence per concept)</w:t>
            </w:r>
          </w:p>
        </w:tc>
      </w:tr>
      <w:tr w:rsidR="00BC3C17" w:rsidRPr="00AB0CF5" w14:paraId="42CFF7E5" w14:textId="77777777" w:rsidTr="003654CA">
        <w:tc>
          <w:tcPr>
            <w:tcW w:w="1696" w:type="dxa"/>
            <w:vAlign w:val="center"/>
          </w:tcPr>
          <w:p w14:paraId="0BFFD18F" w14:textId="5175C3B2" w:rsidR="00BC3C17" w:rsidRPr="00F736FD" w:rsidRDefault="00F11060" w:rsidP="003654CA">
            <w:pPr>
              <w:jc w:val="center"/>
              <w:rPr>
                <w:lang w:val="en-US"/>
              </w:rPr>
            </w:pPr>
            <w:r w:rsidRPr="00F11060">
              <w:rPr>
                <w:lang w:val="en-US"/>
              </w:rPr>
              <w:t>Insurance Policy</w:t>
            </w:r>
          </w:p>
        </w:tc>
        <w:tc>
          <w:tcPr>
            <w:tcW w:w="9067" w:type="dxa"/>
          </w:tcPr>
          <w:p w14:paraId="70172414" w14:textId="383E8210" w:rsidR="00BC3C17" w:rsidRPr="00F736FD" w:rsidRDefault="00BE73C1" w:rsidP="00C1213D">
            <w:pPr>
              <w:rPr>
                <w:lang w:val="en-US"/>
              </w:rPr>
            </w:pPr>
            <w:r w:rsidRPr="00BE73C1">
              <w:rPr>
                <w:lang w:val="en-US"/>
              </w:rPr>
              <w:t>A legal contract between an insurance company and an individual or organization that outlines the terms and conditions under which the company will compensate the other for covered losses.</w:t>
            </w:r>
          </w:p>
        </w:tc>
      </w:tr>
      <w:tr w:rsidR="00BC3C17" w:rsidRPr="00AB0CF5" w14:paraId="2D7AC4E6" w14:textId="77777777" w:rsidTr="003654CA">
        <w:tc>
          <w:tcPr>
            <w:tcW w:w="1696" w:type="dxa"/>
            <w:vAlign w:val="center"/>
          </w:tcPr>
          <w:p w14:paraId="0FEE7C38" w14:textId="5FBDB30C" w:rsidR="00BC3C17" w:rsidRPr="00F736FD" w:rsidRDefault="00BE73C1" w:rsidP="003654CA">
            <w:pPr>
              <w:jc w:val="center"/>
              <w:rPr>
                <w:lang w:val="en-US"/>
              </w:rPr>
            </w:pPr>
            <w:r w:rsidRPr="00BE73C1">
              <w:rPr>
                <w:lang w:val="en-US"/>
              </w:rPr>
              <w:t>Underwriting</w:t>
            </w:r>
          </w:p>
        </w:tc>
        <w:tc>
          <w:tcPr>
            <w:tcW w:w="9067" w:type="dxa"/>
          </w:tcPr>
          <w:p w14:paraId="4B203414" w14:textId="18010DEE" w:rsidR="00BC3C17" w:rsidRPr="00F736FD" w:rsidRDefault="00BE73C1" w:rsidP="00C1213D">
            <w:pPr>
              <w:rPr>
                <w:lang w:val="en-US"/>
              </w:rPr>
            </w:pPr>
            <w:r w:rsidRPr="00BE73C1">
              <w:rPr>
                <w:lang w:val="en-US"/>
              </w:rPr>
              <w:t>The process by which an insurance company evaluates an applicant's risk profile to determine whether to issue an insurance policy and, if so, at what premium.</w:t>
            </w:r>
          </w:p>
        </w:tc>
      </w:tr>
      <w:tr w:rsidR="009865BB" w:rsidRPr="00AB0CF5" w14:paraId="26222B9A" w14:textId="77777777" w:rsidTr="003654CA">
        <w:tc>
          <w:tcPr>
            <w:tcW w:w="1696" w:type="dxa"/>
            <w:vAlign w:val="center"/>
          </w:tcPr>
          <w:p w14:paraId="4DF69596" w14:textId="1880812B" w:rsidR="009865BB" w:rsidRPr="00F736FD" w:rsidRDefault="00BE73C1" w:rsidP="003654CA">
            <w:pPr>
              <w:jc w:val="center"/>
              <w:rPr>
                <w:lang w:val="en-US"/>
              </w:rPr>
            </w:pPr>
            <w:r>
              <w:rPr>
                <w:lang w:val="en-US"/>
              </w:rPr>
              <w:t>Claims</w:t>
            </w:r>
          </w:p>
        </w:tc>
        <w:tc>
          <w:tcPr>
            <w:tcW w:w="9067" w:type="dxa"/>
          </w:tcPr>
          <w:p w14:paraId="07D58A2A" w14:textId="6B683C63" w:rsidR="009865BB" w:rsidRPr="00F736FD" w:rsidRDefault="00BE73C1" w:rsidP="00C1213D">
            <w:pPr>
              <w:rPr>
                <w:lang w:val="en-US"/>
              </w:rPr>
            </w:pPr>
            <w:r w:rsidRPr="00BE73C1">
              <w:rPr>
                <w:lang w:val="en-US"/>
              </w:rPr>
              <w:t>The process of filing a request with an insurance company for compensation for a covered loss.</w:t>
            </w:r>
          </w:p>
        </w:tc>
      </w:tr>
      <w:tr w:rsidR="009865BB" w:rsidRPr="00AB0CF5" w14:paraId="67982CAC" w14:textId="77777777" w:rsidTr="003654CA">
        <w:tc>
          <w:tcPr>
            <w:tcW w:w="1696" w:type="dxa"/>
            <w:vAlign w:val="center"/>
          </w:tcPr>
          <w:p w14:paraId="07EF6B38" w14:textId="7493F16C" w:rsidR="009865BB" w:rsidRPr="00F736FD" w:rsidRDefault="00BE73C1" w:rsidP="003654CA">
            <w:pPr>
              <w:jc w:val="center"/>
              <w:rPr>
                <w:lang w:val="en-US"/>
              </w:rPr>
            </w:pPr>
            <w:r w:rsidRPr="00BE73C1">
              <w:rPr>
                <w:lang w:val="en-US"/>
              </w:rPr>
              <w:t>Premiums</w:t>
            </w:r>
          </w:p>
        </w:tc>
        <w:tc>
          <w:tcPr>
            <w:tcW w:w="9067" w:type="dxa"/>
          </w:tcPr>
          <w:p w14:paraId="06F106A2" w14:textId="07504D30" w:rsidR="009865BB" w:rsidRPr="00F736FD" w:rsidRDefault="00BE73C1" w:rsidP="00C1213D">
            <w:pPr>
              <w:rPr>
                <w:lang w:val="en-US"/>
              </w:rPr>
            </w:pPr>
            <w:r w:rsidRPr="00BE73C1">
              <w:rPr>
                <w:lang w:val="en-US"/>
              </w:rPr>
              <w:t>The periodic payments made by an insured to an insurance company in exchange for coverage.</w:t>
            </w:r>
          </w:p>
        </w:tc>
      </w:tr>
      <w:tr w:rsidR="009865BB" w:rsidRPr="00AB0CF5" w14:paraId="282DD101" w14:textId="77777777" w:rsidTr="003654CA">
        <w:tc>
          <w:tcPr>
            <w:tcW w:w="1696" w:type="dxa"/>
            <w:vAlign w:val="center"/>
          </w:tcPr>
          <w:p w14:paraId="53F6A8B0" w14:textId="5D0ACE04" w:rsidR="009865BB" w:rsidRPr="00F736FD" w:rsidRDefault="00BE73C1" w:rsidP="003654CA">
            <w:pPr>
              <w:jc w:val="center"/>
              <w:rPr>
                <w:lang w:val="en-US"/>
              </w:rPr>
            </w:pPr>
            <w:r w:rsidRPr="00BE73C1">
              <w:rPr>
                <w:lang w:val="en-US"/>
              </w:rPr>
              <w:t>Customer Experience</w:t>
            </w:r>
          </w:p>
        </w:tc>
        <w:tc>
          <w:tcPr>
            <w:tcW w:w="9067" w:type="dxa"/>
          </w:tcPr>
          <w:p w14:paraId="38B2387C" w14:textId="4E2077B5" w:rsidR="009865BB" w:rsidRPr="00F736FD" w:rsidRDefault="00BE73C1" w:rsidP="00C1213D">
            <w:pPr>
              <w:rPr>
                <w:lang w:val="en-US"/>
              </w:rPr>
            </w:pPr>
            <w:r w:rsidRPr="00BE73C1">
              <w:rPr>
                <w:lang w:val="en-US"/>
              </w:rPr>
              <w:t>The perception that a customer has of their interaction with a company.</w:t>
            </w:r>
          </w:p>
        </w:tc>
      </w:tr>
      <w:tr w:rsidR="009865BB" w:rsidRPr="00AB0CF5" w14:paraId="30CAC169" w14:textId="77777777" w:rsidTr="003654CA">
        <w:tc>
          <w:tcPr>
            <w:tcW w:w="1696" w:type="dxa"/>
            <w:vAlign w:val="center"/>
          </w:tcPr>
          <w:p w14:paraId="00B7D2AF" w14:textId="0B355F4B" w:rsidR="009865BB" w:rsidRPr="00F736FD" w:rsidRDefault="00BE73C1" w:rsidP="003654CA">
            <w:pPr>
              <w:jc w:val="center"/>
              <w:rPr>
                <w:lang w:val="en-US"/>
              </w:rPr>
            </w:pPr>
            <w:r w:rsidRPr="00BE73C1">
              <w:rPr>
                <w:lang w:val="en-US"/>
              </w:rPr>
              <w:t>Fraud Detection</w:t>
            </w:r>
          </w:p>
        </w:tc>
        <w:tc>
          <w:tcPr>
            <w:tcW w:w="9067" w:type="dxa"/>
          </w:tcPr>
          <w:p w14:paraId="271A2358" w14:textId="6D5AF8B6" w:rsidR="009865BB" w:rsidRPr="00F736FD" w:rsidRDefault="00BE73C1" w:rsidP="00C1213D">
            <w:pPr>
              <w:rPr>
                <w:lang w:val="en-US"/>
              </w:rPr>
            </w:pPr>
            <w:r w:rsidRPr="00BE73C1">
              <w:rPr>
                <w:lang w:val="en-US"/>
              </w:rPr>
              <w:t>The process of identifying and preventing fraudulent insurance claims.</w:t>
            </w:r>
          </w:p>
        </w:tc>
      </w:tr>
      <w:tr w:rsidR="009865BB" w:rsidRPr="00AB0CF5" w14:paraId="08FCB799" w14:textId="77777777" w:rsidTr="003654CA">
        <w:tc>
          <w:tcPr>
            <w:tcW w:w="1696" w:type="dxa"/>
            <w:vAlign w:val="center"/>
          </w:tcPr>
          <w:p w14:paraId="6D6AA156" w14:textId="37ABB92E" w:rsidR="009865BB" w:rsidRPr="00F736FD" w:rsidRDefault="00BE73C1" w:rsidP="003654CA">
            <w:pPr>
              <w:jc w:val="center"/>
              <w:rPr>
                <w:lang w:val="en-US"/>
              </w:rPr>
            </w:pPr>
            <w:r w:rsidRPr="00BE73C1">
              <w:rPr>
                <w:lang w:val="en-US"/>
              </w:rPr>
              <w:t>Predictive Analytics</w:t>
            </w:r>
          </w:p>
        </w:tc>
        <w:tc>
          <w:tcPr>
            <w:tcW w:w="9067" w:type="dxa"/>
          </w:tcPr>
          <w:p w14:paraId="2EBC4DAD" w14:textId="508F52D6" w:rsidR="009865BB" w:rsidRPr="00F736FD" w:rsidRDefault="00BE73C1" w:rsidP="00C1213D">
            <w:pPr>
              <w:rPr>
                <w:lang w:val="en-US"/>
              </w:rPr>
            </w:pPr>
            <w:r w:rsidRPr="00BE73C1">
              <w:rPr>
                <w:lang w:val="en-US"/>
              </w:rPr>
              <w:t>The use of data and statistical modeling to predict future events.</w:t>
            </w:r>
          </w:p>
        </w:tc>
      </w:tr>
      <w:tr w:rsidR="009865BB" w:rsidRPr="00AB0CF5" w14:paraId="52BCA423" w14:textId="77777777" w:rsidTr="003654CA">
        <w:tc>
          <w:tcPr>
            <w:tcW w:w="1696" w:type="dxa"/>
            <w:vAlign w:val="center"/>
          </w:tcPr>
          <w:p w14:paraId="621C2293" w14:textId="4731D640" w:rsidR="009865BB" w:rsidRPr="00F736FD" w:rsidRDefault="00BE73C1" w:rsidP="003654CA">
            <w:pPr>
              <w:jc w:val="center"/>
              <w:rPr>
                <w:lang w:val="en-US"/>
              </w:rPr>
            </w:pPr>
            <w:r w:rsidRPr="00BE73C1">
              <w:rPr>
                <w:lang w:val="en-US"/>
              </w:rPr>
              <w:t>Real-time Monitoring</w:t>
            </w:r>
          </w:p>
        </w:tc>
        <w:tc>
          <w:tcPr>
            <w:tcW w:w="9067" w:type="dxa"/>
          </w:tcPr>
          <w:p w14:paraId="6C6751DE" w14:textId="2DF34335" w:rsidR="009865BB" w:rsidRPr="00F736FD" w:rsidRDefault="00BE73C1" w:rsidP="00C1213D">
            <w:pPr>
              <w:rPr>
                <w:lang w:val="en-US"/>
              </w:rPr>
            </w:pPr>
            <w:r w:rsidRPr="00BE73C1">
              <w:rPr>
                <w:lang w:val="en-US"/>
              </w:rPr>
              <w:t>The continuous monitoring of data to identify and address potential problems.</w:t>
            </w:r>
          </w:p>
        </w:tc>
      </w:tr>
      <w:tr w:rsidR="009865BB" w:rsidRPr="00AB0CF5" w14:paraId="51EFAFC0" w14:textId="77777777" w:rsidTr="003654CA">
        <w:tc>
          <w:tcPr>
            <w:tcW w:w="1696" w:type="dxa"/>
            <w:vAlign w:val="center"/>
          </w:tcPr>
          <w:p w14:paraId="29F1C189" w14:textId="1F3E27FF" w:rsidR="009865BB" w:rsidRPr="00F736FD" w:rsidRDefault="00BE73C1" w:rsidP="003654CA">
            <w:pPr>
              <w:jc w:val="center"/>
              <w:rPr>
                <w:lang w:val="en-US"/>
              </w:rPr>
            </w:pPr>
            <w:r w:rsidRPr="00BE73C1">
              <w:rPr>
                <w:lang w:val="en-US"/>
              </w:rPr>
              <w:t>Data Collection</w:t>
            </w:r>
          </w:p>
        </w:tc>
        <w:tc>
          <w:tcPr>
            <w:tcW w:w="9067" w:type="dxa"/>
          </w:tcPr>
          <w:p w14:paraId="3A9A710C" w14:textId="33B69405" w:rsidR="009865BB" w:rsidRPr="00F736FD" w:rsidRDefault="00BE73C1" w:rsidP="00C1213D">
            <w:pPr>
              <w:rPr>
                <w:lang w:val="en-US"/>
              </w:rPr>
            </w:pPr>
            <w:r w:rsidRPr="00BE73C1">
              <w:rPr>
                <w:lang w:val="en-US"/>
              </w:rPr>
              <w:t>The process of gathering and storing information.</w:t>
            </w:r>
          </w:p>
        </w:tc>
      </w:tr>
      <w:tr w:rsidR="00C62E25" w:rsidRPr="00AB0CF5" w14:paraId="326CBF0E" w14:textId="77777777" w:rsidTr="003654CA">
        <w:tc>
          <w:tcPr>
            <w:tcW w:w="1696" w:type="dxa"/>
            <w:vAlign w:val="center"/>
          </w:tcPr>
          <w:p w14:paraId="5524FD13" w14:textId="13461486" w:rsidR="00C62E25" w:rsidRPr="00F736FD" w:rsidRDefault="00BE73C1" w:rsidP="003654CA">
            <w:pPr>
              <w:jc w:val="center"/>
              <w:rPr>
                <w:lang w:val="en-US"/>
              </w:rPr>
            </w:pPr>
            <w:r w:rsidRPr="00BE73C1">
              <w:rPr>
                <w:lang w:val="en-US"/>
              </w:rPr>
              <w:t>Sensors</w:t>
            </w:r>
          </w:p>
        </w:tc>
        <w:tc>
          <w:tcPr>
            <w:tcW w:w="9067" w:type="dxa"/>
          </w:tcPr>
          <w:p w14:paraId="070DAB2E" w14:textId="25A2B191" w:rsidR="00BE73C1" w:rsidRPr="00F736FD" w:rsidRDefault="00BE73C1" w:rsidP="00C1213D">
            <w:pPr>
              <w:rPr>
                <w:lang w:val="en-US"/>
              </w:rPr>
            </w:pPr>
            <w:r w:rsidRPr="00BE73C1">
              <w:rPr>
                <w:lang w:val="en-US"/>
              </w:rPr>
              <w:t>Devices that detect and record physical or environmental changes.</w:t>
            </w:r>
          </w:p>
        </w:tc>
      </w:tr>
      <w:tr w:rsidR="00BE73C1" w:rsidRPr="00AB0CF5" w14:paraId="49622DBB" w14:textId="77777777" w:rsidTr="003654CA">
        <w:tc>
          <w:tcPr>
            <w:tcW w:w="1696" w:type="dxa"/>
            <w:vAlign w:val="center"/>
          </w:tcPr>
          <w:p w14:paraId="3BEA7EEB" w14:textId="69BB2B56" w:rsidR="00BE73C1" w:rsidRPr="00BE73C1" w:rsidRDefault="00BE73C1" w:rsidP="003654CA">
            <w:pPr>
              <w:jc w:val="center"/>
              <w:rPr>
                <w:lang w:val="en-US"/>
              </w:rPr>
            </w:pPr>
            <w:r w:rsidRPr="00BE73C1">
              <w:rPr>
                <w:lang w:val="en-US"/>
              </w:rPr>
              <w:t>Usage-Based Insurance (UBI)</w:t>
            </w:r>
          </w:p>
        </w:tc>
        <w:tc>
          <w:tcPr>
            <w:tcW w:w="9067" w:type="dxa"/>
          </w:tcPr>
          <w:p w14:paraId="2E13D1BE" w14:textId="6DA44683" w:rsidR="00BE73C1" w:rsidRPr="00BE73C1" w:rsidRDefault="00BE73C1" w:rsidP="00C1213D">
            <w:pPr>
              <w:rPr>
                <w:lang w:val="en-US"/>
              </w:rPr>
            </w:pPr>
            <w:r w:rsidRPr="00BE73C1">
              <w:rPr>
                <w:lang w:val="en-US"/>
              </w:rPr>
              <w:t>A type of insurance where the premium is based on how much the insured uses the covered item.</w:t>
            </w:r>
          </w:p>
        </w:tc>
      </w:tr>
      <w:tr w:rsidR="00BE73C1" w:rsidRPr="00AB0CF5" w14:paraId="08C2213F" w14:textId="77777777" w:rsidTr="003654CA">
        <w:tc>
          <w:tcPr>
            <w:tcW w:w="1696" w:type="dxa"/>
            <w:vAlign w:val="center"/>
          </w:tcPr>
          <w:p w14:paraId="680051D8" w14:textId="2698D9C7" w:rsidR="00BE73C1" w:rsidRPr="00BE73C1" w:rsidRDefault="00BE73C1" w:rsidP="003654CA">
            <w:pPr>
              <w:jc w:val="center"/>
              <w:rPr>
                <w:lang w:val="en-US"/>
              </w:rPr>
            </w:pPr>
            <w:r w:rsidRPr="00BE73C1">
              <w:rPr>
                <w:lang w:val="en-US"/>
              </w:rPr>
              <w:t>Telematics</w:t>
            </w:r>
          </w:p>
        </w:tc>
        <w:tc>
          <w:tcPr>
            <w:tcW w:w="9067" w:type="dxa"/>
          </w:tcPr>
          <w:p w14:paraId="6F50C5D3" w14:textId="54AF4BCE" w:rsidR="00BE73C1" w:rsidRPr="00BE73C1" w:rsidRDefault="00BE73C1" w:rsidP="00C1213D">
            <w:pPr>
              <w:rPr>
                <w:lang w:val="en-US"/>
              </w:rPr>
            </w:pPr>
            <w:r w:rsidRPr="00BE73C1">
              <w:rPr>
                <w:lang w:val="en-US"/>
              </w:rPr>
              <w:t>The use of devices and technology to collect data about how a vehicle is driven.</w:t>
            </w:r>
          </w:p>
        </w:tc>
      </w:tr>
      <w:tr w:rsidR="00BE73C1" w:rsidRPr="00AB0CF5" w14:paraId="4E29EA92" w14:textId="77777777" w:rsidTr="003654CA">
        <w:tc>
          <w:tcPr>
            <w:tcW w:w="1696" w:type="dxa"/>
            <w:vAlign w:val="center"/>
          </w:tcPr>
          <w:p w14:paraId="343005ED" w14:textId="3860D5EA" w:rsidR="00BE73C1" w:rsidRPr="00BE73C1" w:rsidRDefault="00BE73C1" w:rsidP="003654CA">
            <w:pPr>
              <w:jc w:val="center"/>
              <w:rPr>
                <w:lang w:val="en-US"/>
              </w:rPr>
            </w:pPr>
            <w:r w:rsidRPr="00BE73C1">
              <w:rPr>
                <w:lang w:val="en-US"/>
              </w:rPr>
              <w:t>Wearable Devices</w:t>
            </w:r>
          </w:p>
        </w:tc>
        <w:tc>
          <w:tcPr>
            <w:tcW w:w="9067" w:type="dxa"/>
          </w:tcPr>
          <w:p w14:paraId="3160159D" w14:textId="5C719690" w:rsidR="00BE73C1" w:rsidRPr="00BE73C1" w:rsidRDefault="00BE73C1" w:rsidP="00C1213D">
            <w:pPr>
              <w:rPr>
                <w:lang w:val="en-US"/>
              </w:rPr>
            </w:pPr>
            <w:r w:rsidRPr="00BE73C1">
              <w:rPr>
                <w:lang w:val="en-US"/>
              </w:rPr>
              <w:t>Electronic devices that are worn on the body.</w:t>
            </w:r>
          </w:p>
        </w:tc>
      </w:tr>
    </w:tbl>
    <w:p w14:paraId="1DC5671C" w14:textId="28E9DA88" w:rsidR="00AA3883" w:rsidRDefault="00AA3883">
      <w:pPr>
        <w:rPr>
          <w:lang w:val="en-US"/>
        </w:rPr>
      </w:pPr>
      <w:r>
        <w:rPr>
          <w:lang w:val="en-US"/>
        </w:rPr>
        <w:br w:type="page"/>
      </w:r>
    </w:p>
    <w:tbl>
      <w:tblPr>
        <w:tblStyle w:val="TableGrid"/>
        <w:tblW w:w="0" w:type="auto"/>
        <w:shd w:val="clear" w:color="auto" w:fill="BFBFBF" w:themeFill="background1" w:themeFillShade="BF"/>
        <w:tblLook w:val="04A0" w:firstRow="1" w:lastRow="0" w:firstColumn="1" w:lastColumn="0" w:noHBand="0" w:noVBand="1"/>
      </w:tblPr>
      <w:tblGrid>
        <w:gridCol w:w="10763"/>
      </w:tblGrid>
      <w:tr w:rsidR="00E122AD" w:rsidRPr="00AB0CF5" w14:paraId="0382E871" w14:textId="77777777" w:rsidTr="00BA1DF4">
        <w:trPr>
          <w:trHeight w:val="321"/>
        </w:trPr>
        <w:tc>
          <w:tcPr>
            <w:tcW w:w="10763" w:type="dxa"/>
            <w:shd w:val="clear" w:color="auto" w:fill="BFBFBF" w:themeFill="background1" w:themeFillShade="BF"/>
            <w:vAlign w:val="center"/>
          </w:tcPr>
          <w:p w14:paraId="3E1695F0" w14:textId="71FD73EE" w:rsidR="00E122AD" w:rsidRPr="000F66B8" w:rsidRDefault="00736B47" w:rsidP="00BA1DF4">
            <w:pPr>
              <w:rPr>
                <w:b/>
                <w:bCs/>
                <w:sz w:val="24"/>
                <w:szCs w:val="24"/>
                <w:lang w:val="en-US"/>
              </w:rPr>
            </w:pPr>
            <w:r>
              <w:rPr>
                <w:b/>
                <w:bCs/>
                <w:sz w:val="24"/>
                <w:szCs w:val="24"/>
                <w:lang w:val="en-US"/>
              </w:rPr>
              <w:lastRenderedPageBreak/>
              <w:t>1.</w:t>
            </w:r>
            <w:r w:rsidR="00F47FC1">
              <w:rPr>
                <w:b/>
                <w:bCs/>
                <w:sz w:val="24"/>
                <w:szCs w:val="24"/>
                <w:lang w:val="en-US"/>
              </w:rPr>
              <w:t>2</w:t>
            </w:r>
            <w:r w:rsidR="00E122AD" w:rsidRPr="000F66B8">
              <w:rPr>
                <w:b/>
                <w:bCs/>
                <w:sz w:val="24"/>
                <w:szCs w:val="24"/>
                <w:lang w:val="en-US"/>
              </w:rPr>
              <w:t xml:space="preserve"> –</w:t>
            </w:r>
            <w:r w:rsidR="00296B40">
              <w:rPr>
                <w:b/>
                <w:bCs/>
                <w:sz w:val="24"/>
                <w:szCs w:val="24"/>
                <w:lang w:val="en-US"/>
              </w:rPr>
              <w:t xml:space="preserve"> R</w:t>
            </w:r>
            <w:r w:rsidR="00410225">
              <w:rPr>
                <w:b/>
                <w:bCs/>
                <w:sz w:val="24"/>
                <w:szCs w:val="24"/>
                <w:lang w:val="en-US"/>
              </w:rPr>
              <w:t>elation between Business Domain</w:t>
            </w:r>
            <w:r w:rsidR="00BE73C1">
              <w:rPr>
                <w:b/>
                <w:bCs/>
                <w:sz w:val="24"/>
                <w:szCs w:val="24"/>
                <w:lang w:val="en-US"/>
              </w:rPr>
              <w:t xml:space="preserve"> Insurance</w:t>
            </w:r>
            <w:r w:rsidR="00410225">
              <w:rPr>
                <w:b/>
                <w:bCs/>
                <w:sz w:val="24"/>
                <w:szCs w:val="24"/>
                <w:lang w:val="en-US"/>
              </w:rPr>
              <w:t xml:space="preserve"> + Driver </w:t>
            </w:r>
            <w:r w:rsidR="00BE73C1">
              <w:rPr>
                <w:b/>
                <w:bCs/>
                <w:sz w:val="24"/>
                <w:szCs w:val="24"/>
                <w:lang w:val="en-US"/>
              </w:rPr>
              <w:t>Sensors</w:t>
            </w:r>
            <w:r w:rsidR="00296B40">
              <w:rPr>
                <w:b/>
                <w:bCs/>
                <w:sz w:val="24"/>
                <w:szCs w:val="24"/>
                <w:lang w:val="en-US"/>
              </w:rPr>
              <w:t xml:space="preserve"> (Free description)</w:t>
            </w:r>
          </w:p>
        </w:tc>
      </w:tr>
    </w:tbl>
    <w:p w14:paraId="0C949381" w14:textId="77777777" w:rsidR="00331C54" w:rsidRDefault="00331C54" w:rsidP="00A724C2">
      <w:pPr>
        <w:jc w:val="both"/>
        <w:rPr>
          <w:b/>
          <w:bCs/>
          <w:u w:val="single"/>
          <w:lang w:val="en-US"/>
        </w:rPr>
      </w:pPr>
    </w:p>
    <w:p w14:paraId="7799A9E2" w14:textId="6D280C59" w:rsidR="00EC6A87" w:rsidRDefault="00EC6A87" w:rsidP="00EC6A87">
      <w:pPr>
        <w:jc w:val="both"/>
        <w:rPr>
          <w:lang w:val="en-US"/>
        </w:rPr>
      </w:pPr>
      <w:r w:rsidRPr="00EC6A87">
        <w:rPr>
          <w:lang w:val="en-US"/>
        </w:rPr>
        <w:t>The insurance industry is undergoing a significant transformation fueled by the integration of driver sensors. These in-vehicle devices capture real-time data on driver behavior, vehicle performance, and surrounding conditions. This synergistic relationship between insurance and driver sensors signifies a commitment to innovation and a data-driven approach to risk management.</w:t>
      </w:r>
    </w:p>
    <w:p w14:paraId="1376BDF5" w14:textId="77777777" w:rsidR="00EC6A87" w:rsidRPr="00EC6A87" w:rsidRDefault="00EC6A87" w:rsidP="00EC6A87">
      <w:pPr>
        <w:jc w:val="both"/>
        <w:rPr>
          <w:lang w:val="en-US"/>
        </w:rPr>
      </w:pPr>
    </w:p>
    <w:p w14:paraId="5D174A32" w14:textId="77777777" w:rsidR="00EC6A87" w:rsidRDefault="00EC6A87" w:rsidP="00EC6A87">
      <w:pPr>
        <w:jc w:val="both"/>
        <w:rPr>
          <w:lang w:val="en-US"/>
        </w:rPr>
      </w:pPr>
      <w:r w:rsidRPr="00EC6A87">
        <w:rPr>
          <w:lang w:val="en-US"/>
        </w:rPr>
        <w:t>By leveraging sensor data, insurers can create individualized policies that reflect a driver's unique habits. This translates to a fairer pricing system based on actual risk profiles. This dynamic assessment not only improves accuracy but also incentivizes safer driving, potentially leading to fewer and less severe accidents.</w:t>
      </w:r>
    </w:p>
    <w:p w14:paraId="46A086B5" w14:textId="77777777" w:rsidR="00EC6A87" w:rsidRDefault="00EC6A87" w:rsidP="00EC6A87">
      <w:pPr>
        <w:jc w:val="both"/>
        <w:rPr>
          <w:lang w:val="en-US"/>
        </w:rPr>
      </w:pPr>
    </w:p>
    <w:p w14:paraId="3E37A303" w14:textId="7130C031" w:rsidR="00EC6A87" w:rsidRDefault="00EC6A87" w:rsidP="00EC6A87">
      <w:pPr>
        <w:jc w:val="both"/>
        <w:rPr>
          <w:lang w:val="en-US"/>
        </w:rPr>
      </w:pPr>
      <w:r w:rsidRPr="00EC6A87">
        <w:rPr>
          <w:lang w:val="en-US"/>
        </w:rPr>
        <w:t>A prime example of this transformation is Progressive's Snapshot Program. This program utilizes a telematics device plugged into the vehicle's OBD-II port. It tracks mileage, driving times, braking patterns, and hard cornering. By analyzing this data, Progressive can create individualized policies that reflect a driver's unique habits. This translates to a fairer pricing system based on actual risk profiles, not just traditional factors like age and location.</w:t>
      </w:r>
    </w:p>
    <w:p w14:paraId="5B2E4604" w14:textId="77777777" w:rsidR="00EC6A87" w:rsidRPr="00EC6A87" w:rsidRDefault="00EC6A87" w:rsidP="00EC6A87">
      <w:pPr>
        <w:jc w:val="both"/>
        <w:rPr>
          <w:lang w:val="en-US"/>
        </w:rPr>
      </w:pPr>
    </w:p>
    <w:p w14:paraId="61864D2F" w14:textId="764A11DB" w:rsidR="00EC6A87" w:rsidRDefault="00EC6A87" w:rsidP="00EC6A87">
      <w:pPr>
        <w:jc w:val="both"/>
        <w:rPr>
          <w:lang w:val="en-US"/>
        </w:rPr>
      </w:pPr>
      <w:r w:rsidRPr="00EC6A87">
        <w:rPr>
          <w:lang w:val="en-US"/>
        </w:rPr>
        <w:t>This dynamic assessment not only improves accuracy but also incentivizes safer driving. Progressive's program rewards safe drivers with discounts on their premiums. This can lead to fewer and less severe accidents, ultimately benefiting both drivers and insurers.</w:t>
      </w:r>
    </w:p>
    <w:p w14:paraId="6A0FA068" w14:textId="77777777" w:rsidR="00EC6A87" w:rsidRPr="00EC6A87" w:rsidRDefault="00EC6A87" w:rsidP="00EC6A87">
      <w:pPr>
        <w:jc w:val="both"/>
        <w:rPr>
          <w:lang w:val="en-US"/>
        </w:rPr>
      </w:pPr>
    </w:p>
    <w:p w14:paraId="1333B8AC" w14:textId="129BFAB8" w:rsidR="00EC6A87" w:rsidRDefault="00EC6A87" w:rsidP="00EC6A87">
      <w:pPr>
        <w:jc w:val="both"/>
        <w:rPr>
          <w:lang w:val="en-US"/>
        </w:rPr>
      </w:pPr>
      <w:r w:rsidRPr="00EC6A87">
        <w:rPr>
          <w:lang w:val="en-US"/>
        </w:rPr>
        <w:t>Furthermore, driver sensors enable insurers to move beyond reactive claims processing to a more proactive role. By providing feedback, rewards, and educational resources to policyholders, insurers can promote safe driving habits. This fosters a collaborative partnership built on trust and mutual benefit.</w:t>
      </w:r>
    </w:p>
    <w:p w14:paraId="5ECD1C1C" w14:textId="77777777" w:rsidR="00EC6A87" w:rsidRPr="00EC6A87" w:rsidRDefault="00EC6A87" w:rsidP="00EC6A87">
      <w:pPr>
        <w:jc w:val="both"/>
        <w:rPr>
          <w:lang w:val="en-US"/>
        </w:rPr>
      </w:pPr>
    </w:p>
    <w:p w14:paraId="39BA4ED9" w14:textId="04EE1793" w:rsidR="00EC6A87" w:rsidRDefault="00EC6A87" w:rsidP="00EC6A87">
      <w:pPr>
        <w:jc w:val="both"/>
        <w:rPr>
          <w:lang w:val="en-US"/>
        </w:rPr>
      </w:pPr>
      <w:r w:rsidRPr="00EC6A87">
        <w:rPr>
          <w:lang w:val="en-US"/>
        </w:rPr>
        <w:t>The insights gleaned from driver sensors extend beyond individual policies. Aggregated data can inform underwriting decisions, product development, and risk modeling, allowing insurers to adapt to evolving trends and emerging risks more effectively.</w:t>
      </w:r>
    </w:p>
    <w:p w14:paraId="3B69BDFC" w14:textId="77777777" w:rsidR="00EC6A87" w:rsidRPr="00EC6A87" w:rsidRDefault="00EC6A87" w:rsidP="00EC6A87">
      <w:pPr>
        <w:jc w:val="both"/>
        <w:rPr>
          <w:lang w:val="en-US"/>
        </w:rPr>
      </w:pPr>
    </w:p>
    <w:p w14:paraId="47A0FA16" w14:textId="3D0B14C1" w:rsidR="00EC6A87" w:rsidRDefault="00EC6A87" w:rsidP="00EC6A87">
      <w:pPr>
        <w:jc w:val="both"/>
        <w:rPr>
          <w:lang w:val="en-US"/>
        </w:rPr>
      </w:pPr>
      <w:r w:rsidRPr="00EC6A87">
        <w:rPr>
          <w:lang w:val="en-US"/>
        </w:rPr>
        <w:t>However, challenges exist alongside these benefits. Data privacy concerns, regulatory compliance, and robust cybersecurity measures are crucial considerations to ensure the responsible use of sensitive information. Addressing these challenges requires collaboration between insurers, technology providers, regulators, and consumers.</w:t>
      </w:r>
    </w:p>
    <w:p w14:paraId="36083BEB" w14:textId="77777777" w:rsidR="00EC6A87" w:rsidRPr="00EC6A87" w:rsidRDefault="00EC6A87" w:rsidP="00EC6A87">
      <w:pPr>
        <w:jc w:val="both"/>
        <w:rPr>
          <w:lang w:val="en-US"/>
        </w:rPr>
      </w:pPr>
    </w:p>
    <w:p w14:paraId="4991082E" w14:textId="05A7022D" w:rsidR="00736B47" w:rsidRDefault="00EC6A87" w:rsidP="00EC6A87">
      <w:pPr>
        <w:jc w:val="both"/>
        <w:rPr>
          <w:lang w:val="en-US"/>
        </w:rPr>
      </w:pPr>
      <w:r w:rsidRPr="00EC6A87">
        <w:rPr>
          <w:lang w:val="en-US"/>
        </w:rPr>
        <w:t>In conclusion, the integration of driver sensors represents a fundamental shift in the insurance landscape. This era of data-centric insights empowers insurers to provide personalized services and implement advanced risk management practices. By embracing this symbiotic relationship, insurers can not only thrive in a competitive market but also contribute to a safer driving future.</w:t>
      </w:r>
    </w:p>
    <w:p w14:paraId="0DC57907" w14:textId="77777777" w:rsidR="00EC6A87" w:rsidRDefault="00EC6A87" w:rsidP="00EC6A87">
      <w:pPr>
        <w:rPr>
          <w:lang w:val="en-US"/>
        </w:rPr>
      </w:pPr>
    </w:p>
    <w:p w14:paraId="5B324F62" w14:textId="77777777" w:rsidR="00EC6A87" w:rsidRDefault="00EC6A87" w:rsidP="00EC6A87">
      <w:pPr>
        <w:rPr>
          <w:lang w:val="en-US"/>
        </w:rPr>
      </w:pPr>
    </w:p>
    <w:p w14:paraId="3CA33191" w14:textId="77777777" w:rsidR="00EC6A87" w:rsidRDefault="00EC6A87" w:rsidP="00EC6A87">
      <w:pPr>
        <w:rPr>
          <w:lang w:val="en-US"/>
        </w:rPr>
      </w:pPr>
    </w:p>
    <w:p w14:paraId="70AA41A3" w14:textId="77777777" w:rsidR="00EC6A87" w:rsidRDefault="00EC6A87" w:rsidP="00EC6A87">
      <w:pPr>
        <w:rPr>
          <w:lang w:val="en-US"/>
        </w:rPr>
      </w:pPr>
    </w:p>
    <w:tbl>
      <w:tblPr>
        <w:tblStyle w:val="TableGrid"/>
        <w:tblW w:w="0" w:type="auto"/>
        <w:shd w:val="clear" w:color="auto" w:fill="BFBFBF" w:themeFill="background1" w:themeFillShade="BF"/>
        <w:tblLook w:val="04A0" w:firstRow="1" w:lastRow="0" w:firstColumn="1" w:lastColumn="0" w:noHBand="0" w:noVBand="1"/>
      </w:tblPr>
      <w:tblGrid>
        <w:gridCol w:w="10763"/>
      </w:tblGrid>
      <w:tr w:rsidR="00736B47" w:rsidRPr="00AB0CF5" w14:paraId="641CCBE7" w14:textId="77777777" w:rsidTr="00AC0D61">
        <w:trPr>
          <w:trHeight w:val="321"/>
        </w:trPr>
        <w:tc>
          <w:tcPr>
            <w:tcW w:w="10763" w:type="dxa"/>
            <w:shd w:val="clear" w:color="auto" w:fill="BFBFBF" w:themeFill="background1" w:themeFillShade="BF"/>
            <w:vAlign w:val="center"/>
          </w:tcPr>
          <w:p w14:paraId="66584A07" w14:textId="4F3DC789" w:rsidR="00736B47" w:rsidRPr="000F66B8" w:rsidRDefault="00736B47" w:rsidP="00AC0D61">
            <w:pPr>
              <w:rPr>
                <w:b/>
                <w:bCs/>
                <w:sz w:val="24"/>
                <w:szCs w:val="24"/>
                <w:lang w:val="en-US"/>
              </w:rPr>
            </w:pPr>
            <w:r>
              <w:rPr>
                <w:b/>
                <w:bCs/>
                <w:sz w:val="24"/>
                <w:szCs w:val="24"/>
                <w:lang w:val="en-US"/>
              </w:rPr>
              <w:lastRenderedPageBreak/>
              <w:t>2.1</w:t>
            </w:r>
            <w:r w:rsidRPr="000F66B8">
              <w:rPr>
                <w:b/>
                <w:bCs/>
                <w:sz w:val="24"/>
                <w:szCs w:val="24"/>
                <w:lang w:val="en-US"/>
              </w:rPr>
              <w:t xml:space="preserve"> –</w:t>
            </w:r>
            <w:r>
              <w:rPr>
                <w:b/>
                <w:bCs/>
                <w:sz w:val="24"/>
                <w:szCs w:val="24"/>
                <w:lang w:val="en-US"/>
              </w:rPr>
              <w:t xml:space="preserve"> Relation between Business Domain </w:t>
            </w:r>
            <w:r w:rsidR="005F140A">
              <w:rPr>
                <w:b/>
                <w:bCs/>
                <w:sz w:val="24"/>
                <w:szCs w:val="24"/>
                <w:lang w:val="en-US"/>
              </w:rPr>
              <w:t xml:space="preserve">A - </w:t>
            </w:r>
            <w:proofErr w:type="spellStart"/>
            <w:r w:rsidR="005F140A">
              <w:rPr>
                <w:b/>
                <w:bCs/>
                <w:sz w:val="24"/>
                <w:szCs w:val="24"/>
                <w:lang w:val="en-US"/>
              </w:rPr>
              <w:t>Agro&amp;Fish</w:t>
            </w:r>
            <w:proofErr w:type="spellEnd"/>
            <w:r>
              <w:rPr>
                <w:b/>
                <w:bCs/>
                <w:sz w:val="24"/>
                <w:szCs w:val="24"/>
                <w:lang w:val="en-US"/>
              </w:rPr>
              <w:t xml:space="preserve"> + Driver </w:t>
            </w:r>
            <w:r w:rsidR="005F140A">
              <w:rPr>
                <w:b/>
                <w:bCs/>
                <w:sz w:val="24"/>
                <w:szCs w:val="24"/>
                <w:lang w:val="en-US"/>
              </w:rPr>
              <w:t>G – Digital Twins</w:t>
            </w:r>
            <w:r>
              <w:rPr>
                <w:b/>
                <w:bCs/>
                <w:sz w:val="24"/>
                <w:szCs w:val="24"/>
                <w:lang w:val="en-US"/>
              </w:rPr>
              <w:t xml:space="preserve"> (</w:t>
            </w:r>
            <w:r w:rsidRPr="000F66B8">
              <w:rPr>
                <w:b/>
                <w:bCs/>
                <w:sz w:val="24"/>
                <w:szCs w:val="24"/>
                <w:lang w:val="en-US"/>
              </w:rPr>
              <w:t>Concept Map</w:t>
            </w:r>
            <w:r>
              <w:rPr>
                <w:b/>
                <w:bCs/>
                <w:sz w:val="24"/>
                <w:szCs w:val="24"/>
                <w:lang w:val="en-US"/>
              </w:rPr>
              <w:t>)</w:t>
            </w:r>
          </w:p>
        </w:tc>
      </w:tr>
    </w:tbl>
    <w:p w14:paraId="1D039AD5" w14:textId="77777777" w:rsidR="00736B47" w:rsidRPr="00727828" w:rsidRDefault="00736B47" w:rsidP="00736B47">
      <w:pPr>
        <w:rPr>
          <w:lang w:val="en-US"/>
        </w:rPr>
      </w:pPr>
    </w:p>
    <w:p w14:paraId="7436E6DE" w14:textId="71B9CB6E" w:rsidR="00736B47" w:rsidRPr="00727828" w:rsidRDefault="00FB0452" w:rsidP="00736B47">
      <w:pPr>
        <w:rPr>
          <w:lang w:val="en-US"/>
        </w:rPr>
      </w:pPr>
      <w:r>
        <w:rPr>
          <w:noProof/>
          <w:lang w:val="en-US"/>
        </w:rPr>
        <w:drawing>
          <wp:inline distT="0" distB="0" distL="0" distR="0" wp14:anchorId="7FBE414E" wp14:editId="05A604E2">
            <wp:extent cx="6840855" cy="4555490"/>
            <wp:effectExtent l="0" t="0" r="4445" b="3810"/>
            <wp:docPr id="12597921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92155" name="Picture 1"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855" cy="4555490"/>
                    </a:xfrm>
                    <a:prstGeom prst="rect">
                      <a:avLst/>
                    </a:prstGeom>
                  </pic:spPr>
                </pic:pic>
              </a:graphicData>
            </a:graphic>
          </wp:inline>
        </w:drawing>
      </w:r>
    </w:p>
    <w:p w14:paraId="7943D851" w14:textId="77777777" w:rsidR="00736B47" w:rsidRDefault="00736B47" w:rsidP="00736B47">
      <w:pPr>
        <w:rPr>
          <w:lang w:val="en-US"/>
        </w:rPr>
      </w:pPr>
    </w:p>
    <w:p w14:paraId="3ACE9D6D" w14:textId="77777777" w:rsidR="00736B47" w:rsidRDefault="00736B47" w:rsidP="00736B47">
      <w:pPr>
        <w:rPr>
          <w:lang w:val="en-US"/>
        </w:rPr>
      </w:pPr>
    </w:p>
    <w:p w14:paraId="237A3E22" w14:textId="77777777" w:rsidR="00736B47" w:rsidRPr="00727828" w:rsidRDefault="00736B47" w:rsidP="00736B47">
      <w:pPr>
        <w:rPr>
          <w:lang w:val="en-US"/>
        </w:rPr>
      </w:pPr>
    </w:p>
    <w:p w14:paraId="23AE6888" w14:textId="77777777" w:rsidR="00736B47" w:rsidRPr="00727828" w:rsidRDefault="00736B47" w:rsidP="00736B47">
      <w:pPr>
        <w:rPr>
          <w:lang w:val="en-US"/>
        </w:rPr>
      </w:pPr>
    </w:p>
    <w:tbl>
      <w:tblPr>
        <w:tblStyle w:val="TableGrid"/>
        <w:tblW w:w="0" w:type="auto"/>
        <w:tblLook w:val="04A0" w:firstRow="1" w:lastRow="0" w:firstColumn="1" w:lastColumn="0" w:noHBand="0" w:noVBand="1"/>
      </w:tblPr>
      <w:tblGrid>
        <w:gridCol w:w="1696"/>
        <w:gridCol w:w="9067"/>
      </w:tblGrid>
      <w:tr w:rsidR="00736B47" w:rsidRPr="00AB0CF5" w14:paraId="0191622F" w14:textId="77777777" w:rsidTr="00AC0D61">
        <w:tc>
          <w:tcPr>
            <w:tcW w:w="1696" w:type="dxa"/>
            <w:shd w:val="clear" w:color="auto" w:fill="BFBFBF" w:themeFill="background1" w:themeFillShade="BF"/>
          </w:tcPr>
          <w:p w14:paraId="74ECFC80" w14:textId="77777777" w:rsidR="00736B47" w:rsidRPr="00F736FD" w:rsidRDefault="00736B47" w:rsidP="00AC0D61">
            <w:pPr>
              <w:jc w:val="center"/>
              <w:rPr>
                <w:b/>
                <w:bCs/>
                <w:lang w:val="en-US"/>
              </w:rPr>
            </w:pPr>
            <w:r w:rsidRPr="00F736FD">
              <w:rPr>
                <w:b/>
                <w:bCs/>
                <w:lang w:val="en-US"/>
              </w:rPr>
              <w:t>Concept</w:t>
            </w:r>
          </w:p>
        </w:tc>
        <w:tc>
          <w:tcPr>
            <w:tcW w:w="9067" w:type="dxa"/>
            <w:shd w:val="clear" w:color="auto" w:fill="BFBFBF" w:themeFill="background1" w:themeFillShade="BF"/>
          </w:tcPr>
          <w:p w14:paraId="429FA533" w14:textId="77777777" w:rsidR="00736B47" w:rsidRPr="00F736FD" w:rsidRDefault="00736B47" w:rsidP="00AC0D61">
            <w:pPr>
              <w:jc w:val="center"/>
              <w:rPr>
                <w:b/>
                <w:bCs/>
                <w:lang w:val="en-US"/>
              </w:rPr>
            </w:pPr>
            <w:r w:rsidRPr="00F736FD">
              <w:rPr>
                <w:b/>
                <w:bCs/>
                <w:lang w:val="en-US"/>
              </w:rPr>
              <w:t>Definition (one sentence per concept)</w:t>
            </w:r>
          </w:p>
        </w:tc>
      </w:tr>
      <w:tr w:rsidR="00736B47" w:rsidRPr="00AB0CF5" w14:paraId="6B08C036" w14:textId="77777777" w:rsidTr="00AC0D61">
        <w:tc>
          <w:tcPr>
            <w:tcW w:w="1696" w:type="dxa"/>
            <w:vAlign w:val="center"/>
          </w:tcPr>
          <w:p w14:paraId="41705195" w14:textId="3D2F0EE7" w:rsidR="00736B47" w:rsidRPr="00F736FD" w:rsidRDefault="00FB0452" w:rsidP="00AC0D61">
            <w:pPr>
              <w:jc w:val="center"/>
              <w:rPr>
                <w:lang w:val="en-US"/>
              </w:rPr>
            </w:pPr>
            <w:r>
              <w:rPr>
                <w:lang w:val="en-US"/>
              </w:rPr>
              <w:t>Digital Twins</w:t>
            </w:r>
          </w:p>
        </w:tc>
        <w:tc>
          <w:tcPr>
            <w:tcW w:w="9067" w:type="dxa"/>
          </w:tcPr>
          <w:p w14:paraId="0CF696ED" w14:textId="6CF849C7" w:rsidR="00736B47" w:rsidRPr="00F736FD" w:rsidRDefault="00FB0452" w:rsidP="00AC0D61">
            <w:pPr>
              <w:rPr>
                <w:lang w:val="en-US"/>
              </w:rPr>
            </w:pPr>
            <w:r>
              <w:rPr>
                <w:lang w:val="en-US"/>
              </w:rPr>
              <w:t>Digital</w:t>
            </w:r>
            <w:r w:rsidR="00736B47" w:rsidRPr="00F736FD">
              <w:rPr>
                <w:lang w:val="en-US"/>
              </w:rPr>
              <w:t xml:space="preserve"> </w:t>
            </w:r>
            <w:r>
              <w:rPr>
                <w:lang w:val="en-US"/>
              </w:rPr>
              <w:t xml:space="preserve">replica of </w:t>
            </w:r>
            <w:r w:rsidR="00B62F3B">
              <w:rPr>
                <w:lang w:val="en-US"/>
              </w:rPr>
              <w:t>a system and its environment, which can be used to simulate the real world.</w:t>
            </w:r>
          </w:p>
        </w:tc>
      </w:tr>
      <w:tr w:rsidR="00736B47" w:rsidRPr="00AB0CF5" w14:paraId="1BB11C44" w14:textId="77777777" w:rsidTr="00AC0D61">
        <w:tc>
          <w:tcPr>
            <w:tcW w:w="1696" w:type="dxa"/>
            <w:vAlign w:val="center"/>
          </w:tcPr>
          <w:p w14:paraId="49C2C7B6" w14:textId="714E2627" w:rsidR="00736B47" w:rsidRPr="00F736FD" w:rsidRDefault="00B62F3B" w:rsidP="00AC0D61">
            <w:pPr>
              <w:jc w:val="center"/>
              <w:rPr>
                <w:lang w:val="en-US"/>
              </w:rPr>
            </w:pPr>
            <w:proofErr w:type="spellStart"/>
            <w:r>
              <w:rPr>
                <w:lang w:val="en-US"/>
              </w:rPr>
              <w:t>Agro&amp;Fish</w:t>
            </w:r>
            <w:proofErr w:type="spellEnd"/>
          </w:p>
        </w:tc>
        <w:tc>
          <w:tcPr>
            <w:tcW w:w="9067" w:type="dxa"/>
          </w:tcPr>
          <w:p w14:paraId="507460C4" w14:textId="07874F42" w:rsidR="00736B47" w:rsidRPr="00F736FD" w:rsidRDefault="00B62F3B" w:rsidP="00AC0D61">
            <w:pPr>
              <w:rPr>
                <w:lang w:val="en-US"/>
              </w:rPr>
            </w:pPr>
            <w:r>
              <w:rPr>
                <w:lang w:val="en-US"/>
              </w:rPr>
              <w:t>The agriculture and fish industry.</w:t>
            </w:r>
          </w:p>
        </w:tc>
      </w:tr>
      <w:tr w:rsidR="00736B47" w:rsidRPr="00AB0CF5" w14:paraId="7215C988" w14:textId="77777777" w:rsidTr="00AC0D61">
        <w:tc>
          <w:tcPr>
            <w:tcW w:w="1696" w:type="dxa"/>
            <w:vAlign w:val="center"/>
          </w:tcPr>
          <w:p w14:paraId="7496271B" w14:textId="564FD0CE" w:rsidR="00736B47" w:rsidRPr="00F736FD" w:rsidRDefault="00B62F3B" w:rsidP="00AC0D61">
            <w:pPr>
              <w:jc w:val="center"/>
              <w:rPr>
                <w:lang w:val="en-US"/>
              </w:rPr>
            </w:pPr>
            <w:r>
              <w:rPr>
                <w:lang w:val="en-US"/>
              </w:rPr>
              <w:t>Farmers</w:t>
            </w:r>
          </w:p>
        </w:tc>
        <w:tc>
          <w:tcPr>
            <w:tcW w:w="9067" w:type="dxa"/>
          </w:tcPr>
          <w:p w14:paraId="3F671ECF" w14:textId="551AFDCC" w:rsidR="00736B47" w:rsidRPr="00F736FD" w:rsidRDefault="00B62F3B" w:rsidP="00AC0D61">
            <w:pPr>
              <w:rPr>
                <w:lang w:val="en-US"/>
              </w:rPr>
            </w:pPr>
            <w:r>
              <w:rPr>
                <w:lang w:val="en-US"/>
              </w:rPr>
              <w:t>People working in the agriculture and fish industry.</w:t>
            </w:r>
          </w:p>
        </w:tc>
      </w:tr>
      <w:tr w:rsidR="00736B47" w:rsidRPr="00AB0CF5" w14:paraId="37B070B4" w14:textId="77777777" w:rsidTr="00AC0D61">
        <w:tc>
          <w:tcPr>
            <w:tcW w:w="1696" w:type="dxa"/>
            <w:vAlign w:val="center"/>
          </w:tcPr>
          <w:p w14:paraId="48E15A8B" w14:textId="5DBAA38D" w:rsidR="00736B47" w:rsidRPr="00F736FD" w:rsidRDefault="00B62F3B" w:rsidP="00AC0D61">
            <w:pPr>
              <w:jc w:val="center"/>
              <w:rPr>
                <w:lang w:val="en-US"/>
              </w:rPr>
            </w:pPr>
            <w:r>
              <w:rPr>
                <w:lang w:val="en-US"/>
              </w:rPr>
              <w:t>Data</w:t>
            </w:r>
          </w:p>
        </w:tc>
        <w:tc>
          <w:tcPr>
            <w:tcW w:w="9067" w:type="dxa"/>
          </w:tcPr>
          <w:p w14:paraId="085B7552" w14:textId="52C7715C" w:rsidR="00736B47" w:rsidRPr="00F736FD" w:rsidRDefault="00B62F3B" w:rsidP="00AC0D61">
            <w:pPr>
              <w:rPr>
                <w:lang w:val="en-US"/>
              </w:rPr>
            </w:pPr>
            <w:r>
              <w:rPr>
                <w:lang w:val="en-US"/>
              </w:rPr>
              <w:t>In this context meaning personal and operational data about the farm and farmers collected by sensors and other means.</w:t>
            </w:r>
          </w:p>
        </w:tc>
      </w:tr>
      <w:tr w:rsidR="00736B47" w:rsidRPr="00DB2438" w14:paraId="3C5C1E3A" w14:textId="77777777" w:rsidTr="00AC0D61">
        <w:tc>
          <w:tcPr>
            <w:tcW w:w="1696" w:type="dxa"/>
            <w:vAlign w:val="center"/>
          </w:tcPr>
          <w:p w14:paraId="06E07FC9" w14:textId="0E02EBCF" w:rsidR="00736B47" w:rsidRPr="00F736FD" w:rsidRDefault="00B62F3B" w:rsidP="00AC0D61">
            <w:pPr>
              <w:jc w:val="center"/>
              <w:rPr>
                <w:lang w:val="en-US"/>
              </w:rPr>
            </w:pPr>
            <w:proofErr w:type="spellStart"/>
            <w:r>
              <w:rPr>
                <w:lang w:val="en-US"/>
              </w:rPr>
              <w:t>Suatainability</w:t>
            </w:r>
            <w:proofErr w:type="spellEnd"/>
          </w:p>
        </w:tc>
        <w:tc>
          <w:tcPr>
            <w:tcW w:w="9067" w:type="dxa"/>
          </w:tcPr>
          <w:p w14:paraId="6D93060D" w14:textId="0737DA83" w:rsidR="00736B47" w:rsidRPr="00F736FD" w:rsidRDefault="00B62F3B" w:rsidP="00AC0D61">
            <w:pPr>
              <w:rPr>
                <w:lang w:val="en-US"/>
              </w:rPr>
            </w:pPr>
            <w:r>
              <w:rPr>
                <w:lang w:val="en-US"/>
              </w:rPr>
              <w:t>A</w:t>
            </w:r>
            <w:r w:rsidRPr="00B62F3B">
              <w:rPr>
                <w:lang w:val="en-US"/>
              </w:rPr>
              <w:t xml:space="preserve">voidance of the depletion of natural resources </w:t>
            </w:r>
            <w:proofErr w:type="gramStart"/>
            <w:r w:rsidRPr="00B62F3B">
              <w:rPr>
                <w:lang w:val="en-US"/>
              </w:rPr>
              <w:t>in order to</w:t>
            </w:r>
            <w:proofErr w:type="gramEnd"/>
            <w:r w:rsidRPr="00B62F3B">
              <w:rPr>
                <w:lang w:val="en-US"/>
              </w:rPr>
              <w:t xml:space="preserve"> maintain an ecological balance.</w:t>
            </w:r>
          </w:p>
        </w:tc>
      </w:tr>
    </w:tbl>
    <w:p w14:paraId="03612A81" w14:textId="77777777" w:rsidR="00736B47" w:rsidRDefault="00736B47" w:rsidP="00736B47">
      <w:pPr>
        <w:rPr>
          <w:lang w:val="en-US"/>
        </w:rPr>
      </w:pPr>
      <w:r>
        <w:rPr>
          <w:lang w:val="en-US"/>
        </w:rPr>
        <w:br w:type="page"/>
      </w:r>
    </w:p>
    <w:tbl>
      <w:tblPr>
        <w:tblStyle w:val="TableGrid"/>
        <w:tblW w:w="0" w:type="auto"/>
        <w:shd w:val="clear" w:color="auto" w:fill="BFBFBF" w:themeFill="background1" w:themeFillShade="BF"/>
        <w:tblLook w:val="04A0" w:firstRow="1" w:lastRow="0" w:firstColumn="1" w:lastColumn="0" w:noHBand="0" w:noVBand="1"/>
      </w:tblPr>
      <w:tblGrid>
        <w:gridCol w:w="10763"/>
      </w:tblGrid>
      <w:tr w:rsidR="00736B47" w:rsidRPr="00AB0CF5" w14:paraId="6D8C9C0E" w14:textId="77777777" w:rsidTr="00AC0D61">
        <w:trPr>
          <w:trHeight w:val="321"/>
        </w:trPr>
        <w:tc>
          <w:tcPr>
            <w:tcW w:w="10763" w:type="dxa"/>
            <w:shd w:val="clear" w:color="auto" w:fill="BFBFBF" w:themeFill="background1" w:themeFillShade="BF"/>
            <w:vAlign w:val="center"/>
          </w:tcPr>
          <w:p w14:paraId="41A83882" w14:textId="05147DCF" w:rsidR="00736B47" w:rsidRPr="000F66B8" w:rsidRDefault="00736B47" w:rsidP="00AC0D61">
            <w:pPr>
              <w:rPr>
                <w:b/>
                <w:bCs/>
                <w:sz w:val="24"/>
                <w:szCs w:val="24"/>
                <w:lang w:val="en-US"/>
              </w:rPr>
            </w:pPr>
            <w:r>
              <w:rPr>
                <w:b/>
                <w:bCs/>
                <w:sz w:val="24"/>
                <w:szCs w:val="24"/>
                <w:lang w:val="en-US"/>
              </w:rPr>
              <w:lastRenderedPageBreak/>
              <w:t>2.2</w:t>
            </w:r>
            <w:r w:rsidRPr="000F66B8">
              <w:rPr>
                <w:b/>
                <w:bCs/>
                <w:sz w:val="24"/>
                <w:szCs w:val="24"/>
                <w:lang w:val="en-US"/>
              </w:rPr>
              <w:t xml:space="preserve"> –</w:t>
            </w:r>
            <w:r>
              <w:rPr>
                <w:b/>
                <w:bCs/>
                <w:sz w:val="24"/>
                <w:szCs w:val="24"/>
                <w:lang w:val="en-US"/>
              </w:rPr>
              <w:t xml:space="preserve"> Relation between Business Domain </w:t>
            </w:r>
            <w:r w:rsidR="004E156C">
              <w:rPr>
                <w:b/>
                <w:bCs/>
                <w:sz w:val="24"/>
                <w:szCs w:val="24"/>
                <w:lang w:val="en-US"/>
              </w:rPr>
              <w:t xml:space="preserve">A - </w:t>
            </w:r>
            <w:proofErr w:type="spellStart"/>
            <w:r w:rsidR="004E156C">
              <w:rPr>
                <w:b/>
                <w:bCs/>
                <w:sz w:val="24"/>
                <w:szCs w:val="24"/>
                <w:lang w:val="en-US"/>
              </w:rPr>
              <w:t>Agro&amp;Fish</w:t>
            </w:r>
            <w:proofErr w:type="spellEnd"/>
            <w:r w:rsidR="004E156C">
              <w:rPr>
                <w:b/>
                <w:bCs/>
                <w:sz w:val="24"/>
                <w:szCs w:val="24"/>
                <w:lang w:val="en-US"/>
              </w:rPr>
              <w:t xml:space="preserve"> + Driver G - Digital Twins </w:t>
            </w:r>
            <w:r>
              <w:rPr>
                <w:b/>
                <w:bCs/>
                <w:sz w:val="24"/>
                <w:szCs w:val="24"/>
                <w:lang w:val="en-US"/>
              </w:rPr>
              <w:t>(Free description)</w:t>
            </w:r>
          </w:p>
        </w:tc>
      </w:tr>
    </w:tbl>
    <w:p w14:paraId="464BB434" w14:textId="77777777" w:rsidR="00736B47" w:rsidRDefault="00736B47" w:rsidP="00736B47">
      <w:pPr>
        <w:jc w:val="both"/>
        <w:rPr>
          <w:b/>
          <w:bCs/>
          <w:u w:val="single"/>
          <w:lang w:val="en-US"/>
        </w:rPr>
      </w:pPr>
    </w:p>
    <w:p w14:paraId="657CA6C6" w14:textId="06ACE123" w:rsidR="00736B47" w:rsidRDefault="00237910" w:rsidP="00F72AB2">
      <w:pPr>
        <w:jc w:val="both"/>
        <w:rPr>
          <w:lang w:val="en-US"/>
        </w:rPr>
      </w:pPr>
      <w:r>
        <w:rPr>
          <w:lang w:val="en-US"/>
        </w:rPr>
        <w:t xml:space="preserve">The relation between business domain A – agriculture and fishing and driver G – digital twins is that the agriculture and fishing industries in advanced economies are beginning to introduce the idea of using the digital </w:t>
      </w:r>
      <w:proofErr w:type="gramStart"/>
      <w:r>
        <w:rPr>
          <w:lang w:val="en-US"/>
        </w:rPr>
        <w:t>twins</w:t>
      </w:r>
      <w:proofErr w:type="gramEnd"/>
      <w:r>
        <w:rPr>
          <w:lang w:val="en-US"/>
        </w:rPr>
        <w:t xml:space="preserve"> technological driver to increase [301] key performance indicators such as profitability and [136] regulatory compliance. </w:t>
      </w:r>
      <w:r w:rsidR="00F72AB2">
        <w:rPr>
          <w:lang w:val="en-US"/>
        </w:rPr>
        <w:t>This idea is quite new, but can enable, according to (</w:t>
      </w:r>
      <w:r w:rsidR="00F72AB2" w:rsidRPr="00F72AB2">
        <w:rPr>
          <w:lang w:val="en-US"/>
        </w:rPr>
        <w:t>W. Purcell</w:t>
      </w:r>
      <w:r w:rsidR="00F72AB2">
        <w:rPr>
          <w:lang w:val="en-US"/>
        </w:rPr>
        <w:t xml:space="preserve"> &amp; </w:t>
      </w:r>
      <w:r w:rsidR="00F72AB2" w:rsidRPr="00F72AB2">
        <w:rPr>
          <w:lang w:val="en-US"/>
        </w:rPr>
        <w:t>T. Neubauer</w:t>
      </w:r>
      <w:r w:rsidR="00F72AB2">
        <w:rPr>
          <w:lang w:val="en-US"/>
        </w:rPr>
        <w:t xml:space="preserve">, </w:t>
      </w:r>
      <w:r w:rsidR="00F72AB2" w:rsidRPr="00F72AB2">
        <w:rPr>
          <w:lang w:val="en-US"/>
        </w:rPr>
        <w:t>2023</w:t>
      </w:r>
      <w:r w:rsidR="00F72AB2">
        <w:rPr>
          <w:lang w:val="en-US"/>
        </w:rPr>
        <w:t>): “</w:t>
      </w:r>
      <w:r w:rsidR="00F72AB2" w:rsidRPr="00F72AB2">
        <w:rPr>
          <w:lang w:val="en-US"/>
        </w:rPr>
        <w:t>the distinctions between state sensing, entity understanding and physical automation to be eliminated, through high-fidelity modelling and bi-directional data streams. The concept of real-time virtual representation places the Digital Twin in a unique position to enable digitization in agriculture.</w:t>
      </w:r>
      <w:r w:rsidR="00F72AB2">
        <w:rPr>
          <w:lang w:val="en-US"/>
        </w:rPr>
        <w:t xml:space="preserve">” According to Purcell and Neubauer, the use of digital twins in the agricultural industry can be a potentially powerful tool that could elevate the state of the art within the field of agriculture. Although the use of the digital twin driver in the agricultural and fishing industries may </w:t>
      </w:r>
      <w:r w:rsidR="00E35389">
        <w:rPr>
          <w:lang w:val="en-US"/>
        </w:rPr>
        <w:t xml:space="preserve">have large and positive potential benefits, there are a few challenges that </w:t>
      </w:r>
      <w:proofErr w:type="gramStart"/>
      <w:r w:rsidR="00E35389">
        <w:rPr>
          <w:lang w:val="en-US"/>
        </w:rPr>
        <w:t>characterizes</w:t>
      </w:r>
      <w:proofErr w:type="gramEnd"/>
      <w:r w:rsidR="00E35389">
        <w:rPr>
          <w:lang w:val="en-US"/>
        </w:rPr>
        <w:t xml:space="preserve"> their relationship. </w:t>
      </w:r>
    </w:p>
    <w:p w14:paraId="3282F810" w14:textId="5524FE87" w:rsidR="003F2EBA" w:rsidRPr="00237910" w:rsidRDefault="003F2EBA">
      <w:pPr>
        <w:rPr>
          <w:lang w:val="en-GB"/>
        </w:rPr>
      </w:pPr>
      <w:r w:rsidRPr="00237910">
        <w:rPr>
          <w:lang w:val="en-GB"/>
        </w:rPr>
        <w:t>One of the challenges of integrating the use of digital twins in the agriculture and fishing industry is that it presupposes [159] maturity on behalf of the workers in the industry. Part of that maturity is trust in the AI systems.</w:t>
      </w:r>
    </w:p>
    <w:p w14:paraId="7F0B2650" w14:textId="07456227" w:rsidR="003F2EBA" w:rsidRPr="00237910" w:rsidRDefault="003F2EBA">
      <w:pPr>
        <w:rPr>
          <w:lang w:val="en-GB"/>
        </w:rPr>
      </w:pPr>
      <w:r w:rsidRPr="00237910">
        <w:rPr>
          <w:lang w:val="en-GB"/>
        </w:rPr>
        <w:t>According to</w:t>
      </w:r>
      <w:r w:rsidR="00F4647F" w:rsidRPr="00237910">
        <w:rPr>
          <w:lang w:val="en-GB"/>
        </w:rPr>
        <w:t xml:space="preserve"> et al. (2017, p. 1), “To achieve complete trustworthiness and an evaluation of the ethical and moral standards of a machine, detailed “explanations” of AI decisions seem necessary. Such explanations should provide insights into the rationale the AI uses to draw a conclusion”. If this is right, it means that the use of regulation of AI might be necessary </w:t>
      </w:r>
      <w:proofErr w:type="gramStart"/>
      <w:r w:rsidR="00F4647F" w:rsidRPr="00237910">
        <w:rPr>
          <w:lang w:val="en-GB"/>
        </w:rPr>
        <w:t>in order to</w:t>
      </w:r>
      <w:proofErr w:type="gramEnd"/>
      <w:r w:rsidR="00F4647F" w:rsidRPr="00237910">
        <w:rPr>
          <w:lang w:val="en-GB"/>
        </w:rPr>
        <w:t xml:space="preserve"> ensure transparency and “explainability” of the AI models. [136] Regulatory compliance achieved with the help of [139] chief compliance officer and possibly [138] regulatory technology would in that case be crucial to make this work. </w:t>
      </w:r>
    </w:p>
    <w:p w14:paraId="31182C3E" w14:textId="7BF04B71" w:rsidR="00F4647F" w:rsidRPr="00237910" w:rsidRDefault="00F4647F">
      <w:pPr>
        <w:rPr>
          <w:lang w:val="en-GB"/>
        </w:rPr>
      </w:pPr>
      <w:r w:rsidRPr="00237910">
        <w:rPr>
          <w:lang w:val="en-GB"/>
        </w:rPr>
        <w:t xml:space="preserve">Another challenge in this context is to determine who has [110] responsibility / accountability in the case that somethings go wrong. The problem with available </w:t>
      </w:r>
      <w:r w:rsidR="002F2761" w:rsidRPr="00237910">
        <w:rPr>
          <w:lang w:val="en-GB"/>
        </w:rPr>
        <w:t xml:space="preserve">[480] Artificial Intelligence </w:t>
      </w:r>
      <w:r w:rsidRPr="00237910">
        <w:rPr>
          <w:lang w:val="en-GB"/>
        </w:rPr>
        <w:t>models in most automated decision-making systems is the lack of legal and policy transparency</w:t>
      </w:r>
      <w:r w:rsidR="00E03DBD">
        <w:rPr>
          <w:lang w:val="en-GB"/>
        </w:rPr>
        <w:t>,</w:t>
      </w:r>
      <w:r w:rsidRPr="00237910">
        <w:rPr>
          <w:lang w:val="en-GB"/>
        </w:rPr>
        <w:t xml:space="preserve"> or clarity on who or which organization will be held accountable for the mismanagement, errors, or wrong decisions/recommendations made by the </w:t>
      </w:r>
      <w:r w:rsidR="002F2761" w:rsidRPr="00237910">
        <w:rPr>
          <w:lang w:val="en-GB"/>
        </w:rPr>
        <w:t xml:space="preserve">Artificial Intelligence </w:t>
      </w:r>
      <w:r w:rsidRPr="00237910">
        <w:rPr>
          <w:lang w:val="en-GB"/>
        </w:rPr>
        <w:t xml:space="preserve">systems (van der </w:t>
      </w:r>
      <w:proofErr w:type="spellStart"/>
      <w:r w:rsidRPr="00237910">
        <w:rPr>
          <w:lang w:val="en-GB"/>
        </w:rPr>
        <w:t>Loeff</w:t>
      </w:r>
      <w:proofErr w:type="spellEnd"/>
      <w:r w:rsidRPr="00237910">
        <w:rPr>
          <w:lang w:val="en-GB"/>
        </w:rPr>
        <w:t xml:space="preserve"> et al., 2019). Should the company that made the</w:t>
      </w:r>
      <w:r w:rsidR="002F2761" w:rsidRPr="00237910">
        <w:rPr>
          <w:lang w:val="en-GB"/>
        </w:rPr>
        <w:t xml:space="preserve"> [480]</w:t>
      </w:r>
      <w:r w:rsidRPr="00237910">
        <w:rPr>
          <w:lang w:val="en-GB"/>
        </w:rPr>
        <w:t xml:space="preserve"> </w:t>
      </w:r>
      <w:r w:rsidR="002F2761" w:rsidRPr="00237910">
        <w:rPr>
          <w:lang w:val="en-GB"/>
        </w:rPr>
        <w:t xml:space="preserve">Artificial Intelligence </w:t>
      </w:r>
      <w:r w:rsidRPr="00237910">
        <w:rPr>
          <w:lang w:val="en-GB"/>
        </w:rPr>
        <w:t>agent be accountable for the</w:t>
      </w:r>
      <w:r w:rsidR="002F2761" w:rsidRPr="00237910">
        <w:rPr>
          <w:lang w:val="en-GB"/>
        </w:rPr>
        <w:t xml:space="preserve"> [480]</w:t>
      </w:r>
      <w:r w:rsidRPr="00237910">
        <w:rPr>
          <w:lang w:val="en-GB"/>
        </w:rPr>
        <w:t xml:space="preserve"> </w:t>
      </w:r>
      <w:r w:rsidR="002F2761" w:rsidRPr="00237910">
        <w:rPr>
          <w:lang w:val="en-GB"/>
        </w:rPr>
        <w:t xml:space="preserve">Artificial Intelligence </w:t>
      </w:r>
      <w:r w:rsidRPr="00237910">
        <w:rPr>
          <w:lang w:val="en-GB"/>
        </w:rPr>
        <w:t>agent’s actions in the case of an accident. And if so, to what degree?</w:t>
      </w:r>
    </w:p>
    <w:p w14:paraId="003FB0E7" w14:textId="6CBA22F1" w:rsidR="002F2761" w:rsidRPr="00237910" w:rsidRDefault="002F2761">
      <w:pPr>
        <w:rPr>
          <w:lang w:val="en-GB"/>
        </w:rPr>
      </w:pPr>
      <w:r w:rsidRPr="00237910">
        <w:rPr>
          <w:lang w:val="en-GB"/>
        </w:rPr>
        <w:t>Another challenge that th</w:t>
      </w:r>
      <w:r w:rsidR="00E966D7" w:rsidRPr="00237910">
        <w:rPr>
          <w:lang w:val="en-GB"/>
        </w:rPr>
        <w:t xml:space="preserve">e use of a digital twin in the agriculture and fishing industry faces is [220] data protection. “There are a lot of </w:t>
      </w:r>
      <w:r w:rsidR="00237910" w:rsidRPr="00237910">
        <w:rPr>
          <w:lang w:val="en-GB"/>
        </w:rPr>
        <w:t xml:space="preserve">[250] </w:t>
      </w:r>
      <w:r w:rsidR="00E966D7" w:rsidRPr="00237910">
        <w:rPr>
          <w:lang w:val="en-GB"/>
        </w:rPr>
        <w:t>cybersecurity and potential hacker infiltration opportunities in this kind of technology” (Bothwell, 2023). If a digital twin is to be made, it would require information about the system it models. This informat</w:t>
      </w:r>
      <w:r w:rsidR="00237910" w:rsidRPr="00237910">
        <w:rPr>
          <w:lang w:val="en-GB"/>
        </w:rPr>
        <w:t xml:space="preserve">ion could include data that is not meant to be shared with any third party, like a business secret, for example. If this information is stored in the digital twin, we would have an issue regarding [250] cybersecurity and the potential for malign third parties to retrieve this classified data. </w:t>
      </w:r>
    </w:p>
    <w:p w14:paraId="32F60676" w14:textId="67B7A8C8" w:rsidR="00F4647F" w:rsidRPr="00F72AB2" w:rsidRDefault="002F2761">
      <w:pPr>
        <w:rPr>
          <w:lang w:val="en-GB"/>
        </w:rPr>
      </w:pPr>
      <w:r w:rsidRPr="00237910">
        <w:rPr>
          <w:lang w:val="en-GB"/>
        </w:rPr>
        <w:t xml:space="preserve">One of the upsides to the use of a digital twin in the context of agriculture and fishing industry is that [140] Risk management can be managed with the help of the digital twin. One of the ways to achieve this is to have an [480] Artificial Intelligence agent (digital twin) help the farmer to ensure that the farmer satisfies [136] regulatory compliance. This could increase the [159] maturity for the farmer by increasing [146] control (risk). In that way, the [480] Artificial Intelligence agent that uses a digital twin would function like a [139] chief compliance officer for the farmer (or agriculture and fishing industry worker). </w:t>
      </w:r>
    </w:p>
    <w:p w14:paraId="7DF71C02" w14:textId="32E3877B" w:rsidR="00237910" w:rsidRPr="00E35389" w:rsidRDefault="00F4647F" w:rsidP="00237910">
      <w:pPr>
        <w:rPr>
          <w:b/>
          <w:bCs/>
          <w:sz w:val="16"/>
          <w:szCs w:val="16"/>
          <w:lang w:val="en-GB"/>
        </w:rPr>
      </w:pPr>
      <w:r w:rsidRPr="00E35389">
        <w:rPr>
          <w:b/>
          <w:bCs/>
          <w:sz w:val="16"/>
          <w:szCs w:val="16"/>
          <w:lang w:val="en-GB"/>
        </w:rPr>
        <w:t>References:</w:t>
      </w:r>
    </w:p>
    <w:p w14:paraId="26144B06" w14:textId="419E4C1B" w:rsidR="00E966D7" w:rsidRPr="00E35389" w:rsidRDefault="00237910" w:rsidP="00827A57">
      <w:pPr>
        <w:pStyle w:val="ListParagraph"/>
        <w:numPr>
          <w:ilvl w:val="0"/>
          <w:numId w:val="5"/>
        </w:numPr>
        <w:shd w:val="clear" w:color="auto" w:fill="FFFFFF"/>
        <w:spacing w:before="200" w:after="200" w:line="240" w:lineRule="auto"/>
        <w:rPr>
          <w:rStyle w:val="author"/>
          <w:rFonts w:ascii="Open Sans" w:hAnsi="Open Sans" w:cs="Open Sans"/>
          <w:color w:val="1C1D1E"/>
          <w:sz w:val="10"/>
          <w:szCs w:val="10"/>
          <w:shd w:val="clear" w:color="auto" w:fill="FFFFFF"/>
        </w:rPr>
      </w:pPr>
      <w:r w:rsidRPr="00AB0CF5">
        <w:rPr>
          <w:rFonts w:ascii="Cambria" w:hAnsi="Cambria"/>
          <w:color w:val="212121"/>
          <w:sz w:val="14"/>
          <w:szCs w:val="14"/>
          <w:lang w:val="en-US"/>
        </w:rPr>
        <w:t xml:space="preserve">Doran, D., Schulz, S., &amp; </w:t>
      </w:r>
      <w:proofErr w:type="spellStart"/>
      <w:r w:rsidRPr="00AB0CF5">
        <w:rPr>
          <w:rFonts w:ascii="Cambria" w:hAnsi="Cambria"/>
          <w:color w:val="212121"/>
          <w:sz w:val="14"/>
          <w:szCs w:val="14"/>
          <w:lang w:val="en-US"/>
        </w:rPr>
        <w:t>Besold</w:t>
      </w:r>
      <w:proofErr w:type="spellEnd"/>
      <w:r w:rsidRPr="00AB0CF5">
        <w:rPr>
          <w:rFonts w:ascii="Cambria" w:hAnsi="Cambria"/>
          <w:color w:val="212121"/>
          <w:sz w:val="14"/>
          <w:szCs w:val="14"/>
          <w:lang w:val="en-US"/>
        </w:rPr>
        <w:t xml:space="preserve">, T. R. (2017). What does explainable AI really mean? </w:t>
      </w:r>
      <w:r w:rsidRPr="00E35389">
        <w:rPr>
          <w:rFonts w:ascii="Cambria" w:hAnsi="Cambria"/>
          <w:color w:val="212121"/>
          <w:sz w:val="14"/>
          <w:szCs w:val="14"/>
        </w:rPr>
        <w:t xml:space="preserve">A </w:t>
      </w:r>
      <w:proofErr w:type="spellStart"/>
      <w:r w:rsidRPr="00E35389">
        <w:rPr>
          <w:rFonts w:ascii="Cambria" w:hAnsi="Cambria"/>
          <w:color w:val="212121"/>
          <w:sz w:val="14"/>
          <w:szCs w:val="14"/>
        </w:rPr>
        <w:t>new</w:t>
      </w:r>
      <w:proofErr w:type="spellEnd"/>
      <w:r w:rsidRPr="00E35389">
        <w:rPr>
          <w:rFonts w:ascii="Cambria" w:hAnsi="Cambria"/>
          <w:color w:val="212121"/>
          <w:sz w:val="14"/>
          <w:szCs w:val="14"/>
        </w:rPr>
        <w:t xml:space="preserve"> </w:t>
      </w:r>
      <w:proofErr w:type="spellStart"/>
      <w:r w:rsidRPr="00E35389">
        <w:rPr>
          <w:rFonts w:ascii="Cambria" w:hAnsi="Cambria"/>
          <w:color w:val="212121"/>
          <w:sz w:val="14"/>
          <w:szCs w:val="14"/>
        </w:rPr>
        <w:t>conceptualization</w:t>
      </w:r>
      <w:proofErr w:type="spellEnd"/>
      <w:r w:rsidRPr="00E35389">
        <w:rPr>
          <w:rFonts w:ascii="Cambria" w:hAnsi="Cambria"/>
          <w:color w:val="212121"/>
          <w:sz w:val="14"/>
          <w:szCs w:val="14"/>
        </w:rPr>
        <w:t xml:space="preserve"> </w:t>
      </w:r>
      <w:proofErr w:type="spellStart"/>
      <w:r w:rsidRPr="00E35389">
        <w:rPr>
          <w:rFonts w:ascii="Cambria" w:hAnsi="Cambria"/>
          <w:color w:val="212121"/>
          <w:sz w:val="14"/>
          <w:szCs w:val="14"/>
        </w:rPr>
        <w:t>of</w:t>
      </w:r>
      <w:proofErr w:type="spellEnd"/>
      <w:r w:rsidRPr="00E35389">
        <w:rPr>
          <w:rFonts w:ascii="Cambria" w:hAnsi="Cambria"/>
          <w:color w:val="212121"/>
          <w:sz w:val="14"/>
          <w:szCs w:val="14"/>
        </w:rPr>
        <w:t xml:space="preserve"> </w:t>
      </w:r>
      <w:proofErr w:type="spellStart"/>
      <w:r w:rsidRPr="00E35389">
        <w:rPr>
          <w:rFonts w:ascii="Cambria" w:hAnsi="Cambria"/>
          <w:color w:val="212121"/>
          <w:sz w:val="14"/>
          <w:szCs w:val="14"/>
        </w:rPr>
        <w:t>perspectives</w:t>
      </w:r>
      <w:proofErr w:type="spellEnd"/>
      <w:r w:rsidRPr="00E35389">
        <w:rPr>
          <w:rFonts w:ascii="Cambria" w:hAnsi="Cambria"/>
          <w:color w:val="212121"/>
          <w:sz w:val="14"/>
          <w:szCs w:val="14"/>
        </w:rPr>
        <w:t>. https://arxiv.org/abs/1710.00794</w:t>
      </w:r>
    </w:p>
    <w:p w14:paraId="53B124B9" w14:textId="77777777" w:rsidR="00E966D7" w:rsidRPr="00E35389" w:rsidRDefault="00E966D7" w:rsidP="00E966D7">
      <w:pPr>
        <w:numPr>
          <w:ilvl w:val="0"/>
          <w:numId w:val="5"/>
        </w:numPr>
        <w:shd w:val="clear" w:color="auto" w:fill="FFFFFF"/>
        <w:spacing w:before="200" w:after="200" w:line="240" w:lineRule="auto"/>
        <w:rPr>
          <w:rFonts w:ascii="Cambria" w:hAnsi="Cambria"/>
          <w:color w:val="212121"/>
          <w:sz w:val="14"/>
          <w:szCs w:val="14"/>
        </w:rPr>
      </w:pPr>
      <w:r w:rsidRPr="00AB0CF5">
        <w:rPr>
          <w:rStyle w:val="mixed-citation"/>
          <w:rFonts w:ascii="Cambria" w:hAnsi="Cambria"/>
          <w:color w:val="212121"/>
          <w:sz w:val="14"/>
          <w:szCs w:val="14"/>
          <w:lang w:val="en-US"/>
        </w:rPr>
        <w:t xml:space="preserve">van der </w:t>
      </w:r>
      <w:proofErr w:type="spellStart"/>
      <w:r w:rsidRPr="00AB0CF5">
        <w:rPr>
          <w:rStyle w:val="mixed-citation"/>
          <w:rFonts w:ascii="Cambria" w:hAnsi="Cambria"/>
          <w:color w:val="212121"/>
          <w:sz w:val="14"/>
          <w:szCs w:val="14"/>
          <w:lang w:val="en-US"/>
        </w:rPr>
        <w:t>Loeff</w:t>
      </w:r>
      <w:proofErr w:type="spellEnd"/>
      <w:r w:rsidRPr="00AB0CF5">
        <w:rPr>
          <w:rStyle w:val="mixed-citation"/>
          <w:rFonts w:ascii="Cambria" w:hAnsi="Cambria"/>
          <w:color w:val="212121"/>
          <w:sz w:val="14"/>
          <w:szCs w:val="14"/>
          <w:lang w:val="en-US"/>
        </w:rPr>
        <w:t xml:space="preserve"> A. S., Bassi I., Kapila S., Gamper J. (2019). </w:t>
      </w:r>
      <w:r w:rsidRPr="00AB0CF5">
        <w:rPr>
          <w:rStyle w:val="ref-title"/>
          <w:rFonts w:ascii="Cambria" w:hAnsi="Cambria"/>
          <w:color w:val="212121"/>
          <w:sz w:val="14"/>
          <w:szCs w:val="14"/>
          <w:lang w:val="en-US"/>
        </w:rPr>
        <w:t>AI ethics for systemic issues: A structural approach</w:t>
      </w:r>
      <w:r w:rsidRPr="00AB0CF5">
        <w:rPr>
          <w:rStyle w:val="mixed-citation"/>
          <w:rFonts w:ascii="Cambria" w:hAnsi="Cambria"/>
          <w:color w:val="212121"/>
          <w:sz w:val="14"/>
          <w:szCs w:val="14"/>
          <w:lang w:val="en-US"/>
        </w:rPr>
        <w:t>. </w:t>
      </w:r>
      <w:proofErr w:type="spellStart"/>
      <w:r w:rsidRPr="00AB0CF5">
        <w:rPr>
          <w:rStyle w:val="ref-journal"/>
          <w:rFonts w:ascii="Cambria" w:hAnsi="Cambria"/>
          <w:i/>
          <w:iCs/>
          <w:color w:val="212121"/>
          <w:sz w:val="14"/>
          <w:szCs w:val="14"/>
          <w:lang w:val="en-US"/>
        </w:rPr>
        <w:t>arXiv</w:t>
      </w:r>
      <w:proofErr w:type="spellEnd"/>
      <w:r w:rsidRPr="00AB0CF5">
        <w:rPr>
          <w:rStyle w:val="ref-journal"/>
          <w:rFonts w:ascii="Cambria" w:hAnsi="Cambria"/>
          <w:i/>
          <w:iCs/>
          <w:color w:val="212121"/>
          <w:sz w:val="14"/>
          <w:szCs w:val="14"/>
          <w:lang w:val="en-US"/>
        </w:rPr>
        <w:t xml:space="preserve"> preprint arXiv:03216</w:t>
      </w:r>
      <w:r w:rsidRPr="00AB0CF5">
        <w:rPr>
          <w:rStyle w:val="mixed-citation"/>
          <w:rFonts w:ascii="Cambria" w:hAnsi="Cambria"/>
          <w:color w:val="212121"/>
          <w:sz w:val="14"/>
          <w:szCs w:val="14"/>
          <w:lang w:val="en-US"/>
        </w:rPr>
        <w:t>. </w:t>
      </w:r>
      <w:r w:rsidRPr="00E35389">
        <w:rPr>
          <w:rStyle w:val="nowrap"/>
          <w:rFonts w:ascii="Cambria" w:hAnsi="Cambria"/>
          <w:color w:val="212121"/>
          <w:sz w:val="14"/>
          <w:szCs w:val="14"/>
        </w:rPr>
        <w:t>[</w:t>
      </w:r>
      <w:hyperlink r:id="rId10" w:tgtFrame="_blank" w:history="1">
        <w:r w:rsidRPr="00E35389">
          <w:rPr>
            <w:rStyle w:val="Hyperlink"/>
            <w:rFonts w:ascii="Cambria" w:hAnsi="Cambria"/>
            <w:color w:val="376FAA"/>
            <w:sz w:val="14"/>
            <w:szCs w:val="14"/>
          </w:rPr>
          <w:t xml:space="preserve">Google </w:t>
        </w:r>
        <w:proofErr w:type="spellStart"/>
        <w:r w:rsidRPr="00E35389">
          <w:rPr>
            <w:rStyle w:val="Hyperlink"/>
            <w:rFonts w:ascii="Cambria" w:hAnsi="Cambria"/>
            <w:color w:val="376FAA"/>
            <w:sz w:val="14"/>
            <w:szCs w:val="14"/>
          </w:rPr>
          <w:t>Scholar</w:t>
        </w:r>
        <w:proofErr w:type="spellEnd"/>
      </w:hyperlink>
      <w:r w:rsidRPr="00E35389">
        <w:rPr>
          <w:rStyle w:val="nowrap"/>
          <w:rFonts w:ascii="Cambria" w:hAnsi="Cambria"/>
          <w:color w:val="212121"/>
          <w:sz w:val="14"/>
          <w:szCs w:val="14"/>
        </w:rPr>
        <w:t>]</w:t>
      </w:r>
    </w:p>
    <w:p w14:paraId="60A75996" w14:textId="2762CCB4" w:rsidR="00E966D7" w:rsidRPr="00E35389" w:rsidRDefault="00E966D7" w:rsidP="00237910">
      <w:pPr>
        <w:pStyle w:val="ListParagraph"/>
        <w:numPr>
          <w:ilvl w:val="0"/>
          <w:numId w:val="5"/>
        </w:numPr>
        <w:shd w:val="clear" w:color="auto" w:fill="FFFFFF"/>
        <w:spacing w:before="200" w:after="200" w:line="240" w:lineRule="auto"/>
        <w:rPr>
          <w:rFonts w:ascii="Cambria" w:hAnsi="Cambria"/>
          <w:color w:val="212121"/>
          <w:sz w:val="14"/>
          <w:szCs w:val="14"/>
        </w:rPr>
      </w:pPr>
      <w:r w:rsidRPr="00AB0CF5">
        <w:rPr>
          <w:rFonts w:ascii="Cambria" w:hAnsi="Cambria"/>
          <w:color w:val="212121"/>
          <w:sz w:val="14"/>
          <w:szCs w:val="14"/>
          <w:lang w:val="en-US"/>
        </w:rPr>
        <w:t xml:space="preserve">M. Pratt. (2023). </w:t>
      </w:r>
      <w:r w:rsidRPr="00AB0CF5">
        <w:rPr>
          <w:rFonts w:ascii="Cambria" w:hAnsi="Cambria"/>
          <w:i/>
          <w:iCs/>
          <w:color w:val="212121"/>
          <w:sz w:val="14"/>
          <w:szCs w:val="14"/>
          <w:lang w:val="en-US"/>
        </w:rPr>
        <w:t xml:space="preserve">Evil digital twins and other risks: the use of twins </w:t>
      </w:r>
      <w:proofErr w:type="gramStart"/>
      <w:r w:rsidRPr="00AB0CF5">
        <w:rPr>
          <w:rFonts w:ascii="Cambria" w:hAnsi="Cambria"/>
          <w:i/>
          <w:iCs/>
          <w:color w:val="212121"/>
          <w:sz w:val="14"/>
          <w:szCs w:val="14"/>
          <w:lang w:val="en-US"/>
        </w:rPr>
        <w:t>opens up</w:t>
      </w:r>
      <w:proofErr w:type="gramEnd"/>
      <w:r w:rsidRPr="00AB0CF5">
        <w:rPr>
          <w:rFonts w:ascii="Cambria" w:hAnsi="Cambria"/>
          <w:i/>
          <w:iCs/>
          <w:color w:val="212121"/>
          <w:sz w:val="14"/>
          <w:szCs w:val="14"/>
          <w:lang w:val="en-US"/>
        </w:rPr>
        <w:t xml:space="preserve"> a host of new security concerns</w:t>
      </w:r>
      <w:r w:rsidRPr="00AB0CF5">
        <w:rPr>
          <w:rFonts w:ascii="Cambria" w:hAnsi="Cambria"/>
          <w:color w:val="212121"/>
          <w:sz w:val="14"/>
          <w:szCs w:val="14"/>
          <w:lang w:val="en-US"/>
        </w:rPr>
        <w:t xml:space="preserve">. </w:t>
      </w:r>
      <w:r w:rsidR="00DB2438">
        <w:fldChar w:fldCharType="begin"/>
      </w:r>
      <w:r w:rsidR="00DB2438" w:rsidRPr="00DB2438">
        <w:rPr>
          <w:lang w:val="en-US"/>
        </w:rPr>
        <w:instrText>HYPERLINK "https://www.csoonline.com/article/575253/evil-digital-twins-and-other-risks-the-use-of-twins-opens-up-a-host-of-new-security-concerns.html"</w:instrText>
      </w:r>
      <w:r w:rsidR="00DB2438">
        <w:fldChar w:fldCharType="separate"/>
      </w:r>
      <w:r w:rsidRPr="00E35389">
        <w:rPr>
          <w:rStyle w:val="Hyperlink"/>
          <w:rFonts w:ascii="Cambria" w:hAnsi="Cambria"/>
          <w:sz w:val="14"/>
          <w:szCs w:val="14"/>
        </w:rPr>
        <w:t>https://www.csoonline.com/article/575253/evil-digital-twins-and-other-risks-the-use-of-twins-opens-up-a-host-of-new-security-concerns.html</w:t>
      </w:r>
      <w:r w:rsidR="00DB2438">
        <w:rPr>
          <w:rStyle w:val="Hyperlink"/>
          <w:rFonts w:ascii="Cambria" w:hAnsi="Cambria"/>
          <w:sz w:val="14"/>
          <w:szCs w:val="14"/>
        </w:rPr>
        <w:fldChar w:fldCharType="end"/>
      </w:r>
    </w:p>
    <w:p w14:paraId="46CA9F91" w14:textId="0699BD3E" w:rsidR="00736B47" w:rsidRPr="00E35389" w:rsidRDefault="00F72AB2" w:rsidP="00F72AB2">
      <w:pPr>
        <w:pStyle w:val="ListParagraph"/>
        <w:numPr>
          <w:ilvl w:val="0"/>
          <w:numId w:val="5"/>
        </w:numPr>
        <w:shd w:val="clear" w:color="auto" w:fill="FFFFFF"/>
        <w:spacing w:before="200" w:after="200" w:line="240" w:lineRule="auto"/>
        <w:rPr>
          <w:rFonts w:ascii="Cambria" w:hAnsi="Cambria"/>
          <w:color w:val="212121"/>
          <w:sz w:val="14"/>
          <w:szCs w:val="14"/>
        </w:rPr>
      </w:pPr>
      <w:r w:rsidRPr="00AB0CF5">
        <w:rPr>
          <w:rFonts w:ascii="Cambria" w:hAnsi="Cambria"/>
          <w:color w:val="212121"/>
          <w:sz w:val="14"/>
          <w:szCs w:val="14"/>
          <w:lang w:val="en-US"/>
        </w:rPr>
        <w:t xml:space="preserve">W. Purcell, T. Neubauer. (2023). Digital Twins in Agriculture: A State-of-the-art review, Smart Agricultural Technology, Volume 3, 100094, ISSN 2772-3755, </w:t>
      </w:r>
      <w:hyperlink r:id="rId11" w:history="1">
        <w:r w:rsidRPr="00AB0CF5">
          <w:rPr>
            <w:rStyle w:val="Hyperlink"/>
            <w:rFonts w:ascii="Cambria" w:hAnsi="Cambria"/>
            <w:sz w:val="14"/>
            <w:szCs w:val="14"/>
            <w:lang w:val="en-US"/>
          </w:rPr>
          <w:t>https://doi.org/10.1016/j.atech.2022.100094</w:t>
        </w:r>
      </w:hyperlink>
      <w:r w:rsidRPr="00AB0CF5">
        <w:rPr>
          <w:rFonts w:ascii="Cambria" w:hAnsi="Cambria"/>
          <w:color w:val="212121"/>
          <w:sz w:val="14"/>
          <w:szCs w:val="14"/>
          <w:lang w:val="en-US"/>
        </w:rPr>
        <w:t xml:space="preserve">. </w:t>
      </w:r>
      <w:r w:rsidRPr="00E35389">
        <w:rPr>
          <w:rFonts w:ascii="Cambria" w:hAnsi="Cambria"/>
          <w:color w:val="212121"/>
          <w:sz w:val="14"/>
          <w:szCs w:val="14"/>
        </w:rPr>
        <w:t>(</w:t>
      </w:r>
      <w:hyperlink r:id="rId12" w:history="1">
        <w:r w:rsidRPr="00E35389">
          <w:rPr>
            <w:rStyle w:val="Hyperlink"/>
            <w:rFonts w:ascii="Cambria" w:hAnsi="Cambria"/>
            <w:sz w:val="14"/>
            <w:szCs w:val="14"/>
          </w:rPr>
          <w:t>https://www.sciencedirect.com/science/article/pii/S2772375522000594</w:t>
        </w:r>
      </w:hyperlink>
      <w:r w:rsidRPr="00E35389">
        <w:rPr>
          <w:rFonts w:ascii="Cambria" w:hAnsi="Cambria"/>
          <w:color w:val="212121"/>
          <w:sz w:val="14"/>
          <w:szCs w:val="14"/>
        </w:rPr>
        <w:t>)</w:t>
      </w:r>
    </w:p>
    <w:p w14:paraId="0A836ECA" w14:textId="77777777" w:rsidR="00E35389" w:rsidRDefault="00E35389" w:rsidP="00E35389">
      <w:pPr>
        <w:pStyle w:val="ListParagraph"/>
        <w:shd w:val="clear" w:color="auto" w:fill="FFFFFF"/>
        <w:spacing w:before="200" w:after="200" w:line="240" w:lineRule="auto"/>
        <w:rPr>
          <w:rFonts w:ascii="Cambria" w:hAnsi="Cambria"/>
          <w:color w:val="212121"/>
          <w:sz w:val="8"/>
          <w:szCs w:val="8"/>
        </w:rPr>
      </w:pPr>
    </w:p>
    <w:p w14:paraId="38E11E7D" w14:textId="77777777" w:rsidR="00E35389" w:rsidRPr="00E35389" w:rsidRDefault="00E35389" w:rsidP="00E35389">
      <w:pPr>
        <w:pStyle w:val="ListParagraph"/>
        <w:shd w:val="clear" w:color="auto" w:fill="FFFFFF"/>
        <w:spacing w:before="200" w:after="200" w:line="240" w:lineRule="auto"/>
        <w:rPr>
          <w:rFonts w:ascii="Cambria" w:hAnsi="Cambria"/>
          <w:color w:val="212121"/>
          <w:sz w:val="8"/>
          <w:szCs w:val="8"/>
        </w:rPr>
      </w:pPr>
    </w:p>
    <w:tbl>
      <w:tblPr>
        <w:tblStyle w:val="TableGrid"/>
        <w:tblW w:w="0" w:type="auto"/>
        <w:shd w:val="clear" w:color="auto" w:fill="BFBFBF" w:themeFill="background1" w:themeFillShade="BF"/>
        <w:tblLook w:val="04A0" w:firstRow="1" w:lastRow="0" w:firstColumn="1" w:lastColumn="0" w:noHBand="0" w:noVBand="1"/>
      </w:tblPr>
      <w:tblGrid>
        <w:gridCol w:w="10763"/>
      </w:tblGrid>
      <w:tr w:rsidR="00736B47" w:rsidRPr="00AB0CF5" w14:paraId="3AE28C2A" w14:textId="77777777" w:rsidTr="00AC0D61">
        <w:trPr>
          <w:trHeight w:val="321"/>
        </w:trPr>
        <w:tc>
          <w:tcPr>
            <w:tcW w:w="10763" w:type="dxa"/>
            <w:shd w:val="clear" w:color="auto" w:fill="BFBFBF" w:themeFill="background1" w:themeFillShade="BF"/>
            <w:vAlign w:val="center"/>
          </w:tcPr>
          <w:p w14:paraId="043D3338" w14:textId="0AC250BA" w:rsidR="00736B47" w:rsidRPr="000F66B8" w:rsidRDefault="00736B47" w:rsidP="00AC0D61">
            <w:pPr>
              <w:rPr>
                <w:b/>
                <w:bCs/>
                <w:sz w:val="24"/>
                <w:szCs w:val="24"/>
                <w:lang w:val="en-US"/>
              </w:rPr>
            </w:pPr>
            <w:r>
              <w:rPr>
                <w:b/>
                <w:bCs/>
                <w:sz w:val="24"/>
                <w:szCs w:val="24"/>
                <w:lang w:val="en-US"/>
              </w:rPr>
              <w:lastRenderedPageBreak/>
              <w:t>3.1</w:t>
            </w:r>
            <w:r w:rsidRPr="000F66B8">
              <w:rPr>
                <w:b/>
                <w:bCs/>
                <w:sz w:val="24"/>
                <w:szCs w:val="24"/>
                <w:lang w:val="en-US"/>
              </w:rPr>
              <w:t xml:space="preserve"> –</w:t>
            </w:r>
            <w:r>
              <w:rPr>
                <w:b/>
                <w:bCs/>
                <w:sz w:val="24"/>
                <w:szCs w:val="24"/>
                <w:lang w:val="en-US"/>
              </w:rPr>
              <w:t xml:space="preserve"> Relation between Business Domain </w:t>
            </w:r>
            <w:r w:rsidR="14B591EB" w:rsidRPr="14B591EB">
              <w:rPr>
                <w:b/>
                <w:bCs/>
                <w:sz w:val="24"/>
                <w:szCs w:val="24"/>
                <w:lang w:val="en-US"/>
              </w:rPr>
              <w:t>Construction</w:t>
            </w:r>
            <w:r>
              <w:rPr>
                <w:b/>
                <w:bCs/>
                <w:sz w:val="24"/>
                <w:szCs w:val="24"/>
                <w:lang w:val="en-US"/>
              </w:rPr>
              <w:t xml:space="preserve"> + Driver </w:t>
            </w:r>
            <w:r w:rsidR="14B591EB" w:rsidRPr="14B591EB">
              <w:rPr>
                <w:b/>
                <w:bCs/>
                <w:sz w:val="24"/>
                <w:szCs w:val="24"/>
                <w:lang w:val="en-US"/>
              </w:rPr>
              <w:t xml:space="preserve">Digital </w:t>
            </w:r>
            <w:r w:rsidR="238BFB7B" w:rsidRPr="238BFB7B">
              <w:rPr>
                <w:b/>
                <w:bCs/>
                <w:sz w:val="24"/>
                <w:szCs w:val="24"/>
                <w:lang w:val="en-US"/>
              </w:rPr>
              <w:t>Twins</w:t>
            </w:r>
            <w:r>
              <w:rPr>
                <w:b/>
                <w:bCs/>
                <w:sz w:val="24"/>
                <w:szCs w:val="24"/>
                <w:lang w:val="en-US"/>
              </w:rPr>
              <w:t xml:space="preserve"> (</w:t>
            </w:r>
            <w:r w:rsidRPr="000F66B8">
              <w:rPr>
                <w:b/>
                <w:bCs/>
                <w:sz w:val="24"/>
                <w:szCs w:val="24"/>
                <w:lang w:val="en-US"/>
              </w:rPr>
              <w:t>Concept Map</w:t>
            </w:r>
            <w:r>
              <w:rPr>
                <w:b/>
                <w:bCs/>
                <w:sz w:val="24"/>
                <w:szCs w:val="24"/>
                <w:lang w:val="en-US"/>
              </w:rPr>
              <w:t>)</w:t>
            </w:r>
          </w:p>
        </w:tc>
      </w:tr>
    </w:tbl>
    <w:p w14:paraId="2027F02A" w14:textId="77777777" w:rsidR="00736B47" w:rsidRDefault="00736B47" w:rsidP="00736B47">
      <w:pPr>
        <w:rPr>
          <w:lang w:val="en-US"/>
        </w:rPr>
      </w:pPr>
    </w:p>
    <w:p w14:paraId="4ECEAED6" w14:textId="124C04FA" w:rsidR="00736B47" w:rsidRPr="00727828" w:rsidRDefault="00E2548C" w:rsidP="00E2548C">
      <w:pPr>
        <w:jc w:val="center"/>
        <w:rPr>
          <w:lang w:val="en-US"/>
        </w:rPr>
      </w:pPr>
      <w:r>
        <w:rPr>
          <w:noProof/>
        </w:rPr>
        <w:drawing>
          <wp:inline distT="0" distB="0" distL="0" distR="0" wp14:anchorId="552E2012" wp14:editId="51D00BA0">
            <wp:extent cx="5784850" cy="3885563"/>
            <wp:effectExtent l="0" t="0" r="6350" b="1270"/>
            <wp:docPr id="76817161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71619" name="Picture 1" descr="A diagram of a networ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6852" cy="39137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5"/>
        <w:gridCol w:w="8428"/>
      </w:tblGrid>
      <w:tr w:rsidR="00736B47" w:rsidRPr="00AC5B1D" w14:paraId="6583E307" w14:textId="77777777" w:rsidTr="00AC5B1D">
        <w:tc>
          <w:tcPr>
            <w:tcW w:w="2335" w:type="dxa"/>
            <w:shd w:val="clear" w:color="auto" w:fill="BFBFBF" w:themeFill="background1" w:themeFillShade="BF"/>
          </w:tcPr>
          <w:p w14:paraId="6C6BB61B" w14:textId="77777777" w:rsidR="00736B47" w:rsidRPr="00F736FD" w:rsidRDefault="00736B47" w:rsidP="00AC0D61">
            <w:pPr>
              <w:jc w:val="center"/>
              <w:rPr>
                <w:b/>
                <w:bCs/>
                <w:lang w:val="en-US"/>
              </w:rPr>
            </w:pPr>
            <w:r w:rsidRPr="00F736FD">
              <w:rPr>
                <w:b/>
                <w:bCs/>
                <w:lang w:val="en-US"/>
              </w:rPr>
              <w:t>Concept</w:t>
            </w:r>
          </w:p>
        </w:tc>
        <w:tc>
          <w:tcPr>
            <w:tcW w:w="8428" w:type="dxa"/>
            <w:shd w:val="clear" w:color="auto" w:fill="BFBFBF" w:themeFill="background1" w:themeFillShade="BF"/>
          </w:tcPr>
          <w:p w14:paraId="7B3619AC" w14:textId="77777777" w:rsidR="00736B47" w:rsidRPr="00F736FD" w:rsidRDefault="00736B47" w:rsidP="00AC0D61">
            <w:pPr>
              <w:jc w:val="center"/>
              <w:rPr>
                <w:b/>
                <w:bCs/>
                <w:lang w:val="en-US"/>
              </w:rPr>
            </w:pPr>
            <w:r w:rsidRPr="00F736FD">
              <w:rPr>
                <w:b/>
                <w:bCs/>
                <w:lang w:val="en-US"/>
              </w:rPr>
              <w:t>Definition (one sentence per concept)</w:t>
            </w:r>
          </w:p>
        </w:tc>
      </w:tr>
      <w:tr w:rsidR="00736B47" w:rsidRPr="00AC5B1D" w14:paraId="58EF23CC" w14:textId="77777777" w:rsidTr="00AC5B1D">
        <w:tc>
          <w:tcPr>
            <w:tcW w:w="2335" w:type="dxa"/>
            <w:vAlign w:val="center"/>
          </w:tcPr>
          <w:p w14:paraId="0FA97403" w14:textId="28DD4B34" w:rsidR="00736B47" w:rsidRPr="00F736FD" w:rsidRDefault="00B43EF1" w:rsidP="00AC0D61">
            <w:pPr>
              <w:jc w:val="center"/>
              <w:rPr>
                <w:lang w:val="en-US"/>
              </w:rPr>
            </w:pPr>
            <w:r w:rsidRPr="00B43EF1">
              <w:rPr>
                <w:lang w:val="en-US"/>
              </w:rPr>
              <w:t>Building Design</w:t>
            </w:r>
          </w:p>
        </w:tc>
        <w:tc>
          <w:tcPr>
            <w:tcW w:w="8428" w:type="dxa"/>
          </w:tcPr>
          <w:p w14:paraId="72D46337" w14:textId="3030DD10" w:rsidR="00736B47" w:rsidRPr="00F736FD" w:rsidRDefault="004F18F8" w:rsidP="00AC0D61">
            <w:pPr>
              <w:rPr>
                <w:lang w:val="en-US"/>
              </w:rPr>
            </w:pPr>
            <w:r w:rsidRPr="004F18F8">
              <w:rPr>
                <w:lang w:val="en-US"/>
              </w:rPr>
              <w:t>The architectural and engineering plan that outlines the specifications and aesthetics of a residential structure.</w:t>
            </w:r>
          </w:p>
        </w:tc>
      </w:tr>
      <w:tr w:rsidR="00736B47" w:rsidRPr="006127FD" w14:paraId="6F40B85D" w14:textId="77777777" w:rsidTr="00AC5B1D">
        <w:tc>
          <w:tcPr>
            <w:tcW w:w="2335" w:type="dxa"/>
            <w:vAlign w:val="center"/>
          </w:tcPr>
          <w:p w14:paraId="693D3BD3" w14:textId="419902D0" w:rsidR="00736B47" w:rsidRPr="00F736FD" w:rsidRDefault="007342C4" w:rsidP="00AC0D61">
            <w:pPr>
              <w:jc w:val="center"/>
              <w:rPr>
                <w:lang w:val="en-US"/>
              </w:rPr>
            </w:pPr>
            <w:r w:rsidRPr="007342C4">
              <w:rPr>
                <w:lang w:val="en-US"/>
              </w:rPr>
              <w:t>Project Management</w:t>
            </w:r>
          </w:p>
        </w:tc>
        <w:tc>
          <w:tcPr>
            <w:tcW w:w="8428" w:type="dxa"/>
          </w:tcPr>
          <w:p w14:paraId="6D2CEB03" w14:textId="02599828" w:rsidR="00736B47" w:rsidRPr="00F736FD" w:rsidRDefault="006127FD" w:rsidP="00AC0D61">
            <w:pPr>
              <w:rPr>
                <w:lang w:val="en-US"/>
              </w:rPr>
            </w:pPr>
            <w:r w:rsidRPr="006127FD">
              <w:rPr>
                <w:lang w:val="en-US"/>
              </w:rPr>
              <w:t>The organization responsible for planning, coordinating, and overseeing construction projects.</w:t>
            </w:r>
          </w:p>
        </w:tc>
      </w:tr>
      <w:tr w:rsidR="00736B47" w:rsidRPr="00DB2438" w14:paraId="77B1D2AB" w14:textId="77777777" w:rsidTr="00AC5B1D">
        <w:tc>
          <w:tcPr>
            <w:tcW w:w="2335" w:type="dxa"/>
            <w:vAlign w:val="center"/>
          </w:tcPr>
          <w:p w14:paraId="20EDC5BE" w14:textId="18AEF974" w:rsidR="00736B47" w:rsidRPr="00F736FD" w:rsidRDefault="007342C4" w:rsidP="00AC0D61">
            <w:pPr>
              <w:jc w:val="center"/>
              <w:rPr>
                <w:lang w:val="en-US"/>
              </w:rPr>
            </w:pPr>
            <w:r w:rsidRPr="007342C4">
              <w:rPr>
                <w:lang w:val="en-US"/>
              </w:rPr>
              <w:t>Simulation</w:t>
            </w:r>
          </w:p>
        </w:tc>
        <w:tc>
          <w:tcPr>
            <w:tcW w:w="8428" w:type="dxa"/>
          </w:tcPr>
          <w:p w14:paraId="5CC7CA89" w14:textId="28D32B09" w:rsidR="00736B47" w:rsidRPr="00F736FD" w:rsidRDefault="001E180D" w:rsidP="00AC0D61">
            <w:pPr>
              <w:rPr>
                <w:lang w:val="en-US"/>
              </w:rPr>
            </w:pPr>
            <w:r w:rsidRPr="001E180D">
              <w:rPr>
                <w:lang w:val="en-US"/>
              </w:rPr>
              <w:t xml:space="preserve">The use of models to replicate the behavior of a system or process </w:t>
            </w:r>
            <w:proofErr w:type="gramStart"/>
            <w:r w:rsidRPr="001E180D">
              <w:rPr>
                <w:lang w:val="en-US"/>
              </w:rPr>
              <w:t>in order to</w:t>
            </w:r>
            <w:proofErr w:type="gramEnd"/>
            <w:r w:rsidRPr="001E180D">
              <w:rPr>
                <w:lang w:val="en-US"/>
              </w:rPr>
              <w:t xml:space="preserve"> predict its performance in the real world.</w:t>
            </w:r>
          </w:p>
        </w:tc>
      </w:tr>
      <w:tr w:rsidR="00D57139" w:rsidRPr="00AC5B1D" w14:paraId="4DB9EEF9" w14:textId="77777777" w:rsidTr="00AC5B1D">
        <w:tc>
          <w:tcPr>
            <w:tcW w:w="2335" w:type="dxa"/>
            <w:vAlign w:val="center"/>
          </w:tcPr>
          <w:p w14:paraId="793974D6" w14:textId="1A6DE688" w:rsidR="00D57139" w:rsidRPr="00DB67BF" w:rsidRDefault="00D57139" w:rsidP="00AC0D61">
            <w:pPr>
              <w:jc w:val="center"/>
              <w:rPr>
                <w:lang w:val="en-US"/>
              </w:rPr>
            </w:pPr>
            <w:r>
              <w:rPr>
                <w:lang w:val="en-US"/>
              </w:rPr>
              <w:t>Digital Twins</w:t>
            </w:r>
          </w:p>
        </w:tc>
        <w:tc>
          <w:tcPr>
            <w:tcW w:w="8428" w:type="dxa"/>
          </w:tcPr>
          <w:p w14:paraId="2C4427DC" w14:textId="484BDEAA" w:rsidR="00D57139" w:rsidRPr="00F736FD" w:rsidRDefault="00D57139" w:rsidP="00AC0D61">
            <w:pPr>
              <w:rPr>
                <w:lang w:val="en-US"/>
              </w:rPr>
            </w:pPr>
            <w:r w:rsidRPr="00D57139">
              <w:rPr>
                <w:lang w:val="en-US"/>
              </w:rPr>
              <w:t>Virtual replicas of physical buildings that are used to simulate, predict, and optimize building performance throughout its lifecycle.</w:t>
            </w:r>
          </w:p>
        </w:tc>
      </w:tr>
      <w:tr w:rsidR="009210D9" w:rsidRPr="00AC5B1D" w14:paraId="0DFB0A97" w14:textId="77777777" w:rsidTr="00AC5B1D">
        <w:tc>
          <w:tcPr>
            <w:tcW w:w="2335" w:type="dxa"/>
            <w:vAlign w:val="center"/>
          </w:tcPr>
          <w:p w14:paraId="3AC92F6E" w14:textId="0EE140D6" w:rsidR="009210D9" w:rsidRDefault="009210D9" w:rsidP="00AC0D61">
            <w:pPr>
              <w:jc w:val="center"/>
              <w:rPr>
                <w:lang w:val="en-US"/>
              </w:rPr>
            </w:pPr>
            <w:r w:rsidRPr="00DB67BF">
              <w:rPr>
                <w:lang w:val="en-US"/>
              </w:rPr>
              <w:t>Predictive Analytics</w:t>
            </w:r>
          </w:p>
        </w:tc>
        <w:tc>
          <w:tcPr>
            <w:tcW w:w="8428" w:type="dxa"/>
          </w:tcPr>
          <w:p w14:paraId="532D5AA3" w14:textId="6B5EF3F6" w:rsidR="009210D9" w:rsidRPr="00D57139" w:rsidRDefault="00A316D5" w:rsidP="00AC0D61">
            <w:pPr>
              <w:rPr>
                <w:lang w:val="en-US"/>
              </w:rPr>
            </w:pPr>
            <w:r w:rsidRPr="00A316D5">
              <w:rPr>
                <w:lang w:val="en-US"/>
              </w:rPr>
              <w:t>The use of data, statistical algorithms, and machine learning techniques to identify the likelihood of future outcomes based on historical data.</w:t>
            </w:r>
          </w:p>
        </w:tc>
      </w:tr>
      <w:tr w:rsidR="00736B47" w:rsidRPr="00AC5B1D" w14:paraId="6861E918" w14:textId="77777777" w:rsidTr="00AC5B1D">
        <w:tc>
          <w:tcPr>
            <w:tcW w:w="2335" w:type="dxa"/>
            <w:vAlign w:val="center"/>
          </w:tcPr>
          <w:p w14:paraId="623B27FC" w14:textId="7484E1D1" w:rsidR="00736B47" w:rsidRPr="00F736FD" w:rsidRDefault="001C0478" w:rsidP="00AC0D61">
            <w:pPr>
              <w:jc w:val="center"/>
              <w:rPr>
                <w:lang w:val="en-US"/>
              </w:rPr>
            </w:pPr>
            <w:r w:rsidRPr="001C0478">
              <w:rPr>
                <w:lang w:val="en-US"/>
              </w:rPr>
              <w:t>Sensors</w:t>
            </w:r>
          </w:p>
        </w:tc>
        <w:tc>
          <w:tcPr>
            <w:tcW w:w="8428" w:type="dxa"/>
          </w:tcPr>
          <w:p w14:paraId="1279DEB8" w14:textId="11C2C2FB" w:rsidR="00736B47" w:rsidRPr="00F736FD" w:rsidRDefault="007C5C90" w:rsidP="00AC0D61">
            <w:pPr>
              <w:rPr>
                <w:lang w:val="en-US"/>
              </w:rPr>
            </w:pPr>
            <w:r w:rsidRPr="007C5C90">
              <w:rPr>
                <w:lang w:val="en-US"/>
              </w:rPr>
              <w:t>Devices that detect and respond to physical inputs from the environment, such as temperature, motion, or pressure.</w:t>
            </w:r>
          </w:p>
        </w:tc>
      </w:tr>
      <w:tr w:rsidR="00736B47" w:rsidRPr="00AC5B1D" w14:paraId="727B707B" w14:textId="77777777" w:rsidTr="00AC5B1D">
        <w:tc>
          <w:tcPr>
            <w:tcW w:w="2335" w:type="dxa"/>
            <w:vAlign w:val="center"/>
          </w:tcPr>
          <w:p w14:paraId="0F383D06" w14:textId="70375A17" w:rsidR="00736B47" w:rsidRPr="00F736FD" w:rsidRDefault="001C0478" w:rsidP="00AC0D61">
            <w:pPr>
              <w:jc w:val="center"/>
              <w:rPr>
                <w:lang w:val="en-US"/>
              </w:rPr>
            </w:pPr>
            <w:r w:rsidRPr="001C0478">
              <w:rPr>
                <w:lang w:val="en-US"/>
              </w:rPr>
              <w:t>Predictive Maintenance</w:t>
            </w:r>
          </w:p>
        </w:tc>
        <w:tc>
          <w:tcPr>
            <w:tcW w:w="8428" w:type="dxa"/>
          </w:tcPr>
          <w:p w14:paraId="7B89D9F4" w14:textId="1FD1670D" w:rsidR="00736B47" w:rsidRPr="00F736FD" w:rsidRDefault="005F4947" w:rsidP="00AC0D61">
            <w:pPr>
              <w:rPr>
                <w:lang w:val="en-US"/>
              </w:rPr>
            </w:pPr>
            <w:r w:rsidRPr="005F4947">
              <w:rPr>
                <w:lang w:val="en-US"/>
              </w:rPr>
              <w:t>Maintenance strategies that rely on data and analytics to predict and prevent equipment failures before they occur.</w:t>
            </w:r>
          </w:p>
        </w:tc>
      </w:tr>
      <w:tr w:rsidR="00736B47" w:rsidRPr="00EC6273" w14:paraId="4DCCBF5F" w14:textId="77777777" w:rsidTr="00AC5B1D">
        <w:tc>
          <w:tcPr>
            <w:tcW w:w="2335" w:type="dxa"/>
            <w:vAlign w:val="center"/>
          </w:tcPr>
          <w:p w14:paraId="04970EDB" w14:textId="3FE779EE" w:rsidR="00736B47" w:rsidRPr="00F736FD" w:rsidRDefault="008049F5" w:rsidP="00AC0D61">
            <w:pPr>
              <w:jc w:val="center"/>
              <w:rPr>
                <w:lang w:val="en-US"/>
              </w:rPr>
            </w:pPr>
            <w:r w:rsidRPr="008049F5">
              <w:rPr>
                <w:lang w:val="en-US"/>
              </w:rPr>
              <w:t>Energy Management</w:t>
            </w:r>
          </w:p>
        </w:tc>
        <w:tc>
          <w:tcPr>
            <w:tcW w:w="8428" w:type="dxa"/>
          </w:tcPr>
          <w:p w14:paraId="322197E3" w14:textId="2A837319" w:rsidR="00736B47" w:rsidRPr="00F736FD" w:rsidRDefault="00EC6273" w:rsidP="00AC0D61">
            <w:pPr>
              <w:rPr>
                <w:lang w:val="en-US"/>
              </w:rPr>
            </w:pPr>
            <w:r w:rsidRPr="00EC6273">
              <w:rPr>
                <w:lang w:val="en-US"/>
              </w:rPr>
              <w:t>The process of monitoring, controlling, and conserving energy in a building or organization.</w:t>
            </w:r>
          </w:p>
        </w:tc>
      </w:tr>
      <w:tr w:rsidR="00736B47" w:rsidRPr="007C21B7" w14:paraId="3A612A8C" w14:textId="77777777" w:rsidTr="00AC5B1D">
        <w:tc>
          <w:tcPr>
            <w:tcW w:w="2335" w:type="dxa"/>
            <w:vAlign w:val="center"/>
          </w:tcPr>
          <w:p w14:paraId="42D68C88" w14:textId="52B6633B" w:rsidR="00736B47" w:rsidRPr="00F736FD" w:rsidRDefault="008049F5" w:rsidP="00AC0D61">
            <w:pPr>
              <w:jc w:val="center"/>
              <w:rPr>
                <w:lang w:val="en-US"/>
              </w:rPr>
            </w:pPr>
            <w:r w:rsidRPr="008049F5">
              <w:rPr>
                <w:lang w:val="en-US"/>
              </w:rPr>
              <w:t>Maintenance</w:t>
            </w:r>
          </w:p>
        </w:tc>
        <w:tc>
          <w:tcPr>
            <w:tcW w:w="8428" w:type="dxa"/>
          </w:tcPr>
          <w:p w14:paraId="3BDA2243" w14:textId="76FDC40F" w:rsidR="00736B47" w:rsidRPr="00F736FD" w:rsidRDefault="007C21B7" w:rsidP="00AC0D61">
            <w:pPr>
              <w:rPr>
                <w:lang w:val="en-US"/>
              </w:rPr>
            </w:pPr>
            <w:r w:rsidRPr="007C21B7">
              <w:rPr>
                <w:lang w:val="en-US"/>
              </w:rPr>
              <w:t>The process of preserving a building in a functional state through regular inspections, repairs, and updates.</w:t>
            </w:r>
          </w:p>
        </w:tc>
      </w:tr>
      <w:tr w:rsidR="00736B47" w:rsidRPr="00E4322E" w14:paraId="7A774D5F" w14:textId="77777777" w:rsidTr="00AC5B1D">
        <w:tc>
          <w:tcPr>
            <w:tcW w:w="2335" w:type="dxa"/>
            <w:vAlign w:val="center"/>
          </w:tcPr>
          <w:p w14:paraId="3CAA1E44" w14:textId="30928B30" w:rsidR="00736B47" w:rsidRPr="00F736FD" w:rsidRDefault="003855D2" w:rsidP="00AC0D61">
            <w:pPr>
              <w:jc w:val="center"/>
              <w:rPr>
                <w:lang w:val="en-US"/>
              </w:rPr>
            </w:pPr>
            <w:r w:rsidRPr="003855D2">
              <w:rPr>
                <w:lang w:val="en-US"/>
              </w:rPr>
              <w:t>Customer Experience</w:t>
            </w:r>
          </w:p>
        </w:tc>
        <w:tc>
          <w:tcPr>
            <w:tcW w:w="8428" w:type="dxa"/>
          </w:tcPr>
          <w:p w14:paraId="6557F5A3" w14:textId="1E833EEE" w:rsidR="00736B47" w:rsidRPr="00F736FD" w:rsidRDefault="00E4322E" w:rsidP="00AC0D61">
            <w:pPr>
              <w:rPr>
                <w:lang w:val="en-US"/>
              </w:rPr>
            </w:pPr>
            <w:r w:rsidRPr="00E4322E">
              <w:rPr>
                <w:lang w:val="en-US"/>
              </w:rPr>
              <w:t>The overall perception that customers have of their interactions with a company or service.</w:t>
            </w:r>
          </w:p>
        </w:tc>
      </w:tr>
      <w:tr w:rsidR="00736B47" w:rsidRPr="00691A8F" w14:paraId="6083B224" w14:textId="77777777" w:rsidTr="00AC5B1D">
        <w:tc>
          <w:tcPr>
            <w:tcW w:w="2335" w:type="dxa"/>
            <w:vAlign w:val="center"/>
          </w:tcPr>
          <w:p w14:paraId="4DE02993" w14:textId="600E8FE1" w:rsidR="00736B47" w:rsidRPr="00F736FD" w:rsidRDefault="00BB2628" w:rsidP="00AC0D61">
            <w:pPr>
              <w:jc w:val="center"/>
              <w:rPr>
                <w:lang w:val="en-US"/>
              </w:rPr>
            </w:pPr>
            <w:r w:rsidRPr="00BB2628">
              <w:rPr>
                <w:lang w:val="en-US"/>
              </w:rPr>
              <w:t>BIM (Building Information Modeling)</w:t>
            </w:r>
          </w:p>
        </w:tc>
        <w:tc>
          <w:tcPr>
            <w:tcW w:w="8428" w:type="dxa"/>
          </w:tcPr>
          <w:p w14:paraId="2BA7D42E" w14:textId="72129D4C" w:rsidR="00736B47" w:rsidRPr="00F736FD" w:rsidRDefault="00691A8F" w:rsidP="00AC0D61">
            <w:pPr>
              <w:rPr>
                <w:lang w:val="en-US"/>
              </w:rPr>
            </w:pPr>
            <w:r w:rsidRPr="00691A8F">
              <w:rPr>
                <w:lang w:val="en-US"/>
              </w:rPr>
              <w:t>A digital representation of the physical and functional characteristics of a facility, serving as a shared knowledge resource.</w:t>
            </w:r>
          </w:p>
        </w:tc>
      </w:tr>
      <w:tr w:rsidR="00BB2628" w:rsidRPr="00593A20" w14:paraId="373ADAF3" w14:textId="77777777" w:rsidTr="00AC5B1D">
        <w:tc>
          <w:tcPr>
            <w:tcW w:w="2335" w:type="dxa"/>
            <w:vAlign w:val="center"/>
          </w:tcPr>
          <w:p w14:paraId="07B39E96" w14:textId="07D7D3CC" w:rsidR="00BB2628" w:rsidRPr="00BB2628" w:rsidRDefault="00430FF6" w:rsidP="00AC0D61">
            <w:pPr>
              <w:jc w:val="center"/>
              <w:rPr>
                <w:lang w:val="en-US"/>
              </w:rPr>
            </w:pPr>
            <w:r w:rsidRPr="00430FF6">
              <w:rPr>
                <w:lang w:val="en-US"/>
              </w:rPr>
              <w:t>Building Lifecycle</w:t>
            </w:r>
          </w:p>
        </w:tc>
        <w:tc>
          <w:tcPr>
            <w:tcW w:w="8428" w:type="dxa"/>
          </w:tcPr>
          <w:p w14:paraId="10D785F6" w14:textId="1CEA9370" w:rsidR="00BB2628" w:rsidRPr="00F736FD" w:rsidRDefault="00593A20" w:rsidP="00AC0D61">
            <w:pPr>
              <w:rPr>
                <w:lang w:val="en-US"/>
              </w:rPr>
            </w:pPr>
            <w:r w:rsidRPr="00593A20">
              <w:rPr>
                <w:lang w:val="en-US"/>
              </w:rPr>
              <w:t>The stages of a building's life from initial design and construction through maintenance and eventual demolition.</w:t>
            </w:r>
          </w:p>
        </w:tc>
      </w:tr>
      <w:tr w:rsidR="00BB2628" w:rsidRPr="003B537E" w14:paraId="10C99E96" w14:textId="77777777" w:rsidTr="00AC5B1D">
        <w:tc>
          <w:tcPr>
            <w:tcW w:w="2335" w:type="dxa"/>
            <w:vAlign w:val="center"/>
          </w:tcPr>
          <w:p w14:paraId="005F922B" w14:textId="0367C2AF" w:rsidR="00BB2628" w:rsidRPr="00BB2628" w:rsidRDefault="00430FF6" w:rsidP="00AC0D61">
            <w:pPr>
              <w:jc w:val="center"/>
              <w:rPr>
                <w:lang w:val="en-US"/>
              </w:rPr>
            </w:pPr>
            <w:r w:rsidRPr="00430FF6">
              <w:rPr>
                <w:lang w:val="en-US"/>
              </w:rPr>
              <w:t>Lot Devices</w:t>
            </w:r>
          </w:p>
        </w:tc>
        <w:tc>
          <w:tcPr>
            <w:tcW w:w="8428" w:type="dxa"/>
          </w:tcPr>
          <w:p w14:paraId="6D773217" w14:textId="68409D0D" w:rsidR="00BB2628" w:rsidRPr="00F736FD" w:rsidRDefault="003B537E" w:rsidP="00AC0D61">
            <w:pPr>
              <w:rPr>
                <w:lang w:val="en-US"/>
              </w:rPr>
            </w:pPr>
            <w:r w:rsidRPr="003B537E">
              <w:rPr>
                <w:lang w:val="en-US"/>
              </w:rPr>
              <w:t>Internet of Things (IoT) devices that connect to other devices and systems via the internet, enabling data collection and exchange.</w:t>
            </w:r>
          </w:p>
        </w:tc>
      </w:tr>
    </w:tbl>
    <w:p w14:paraId="75E0D086" w14:textId="77777777" w:rsidR="00736B47" w:rsidRDefault="00736B47" w:rsidP="00736B47">
      <w:pPr>
        <w:rPr>
          <w:lang w:val="en-US"/>
        </w:rPr>
      </w:pPr>
      <w:r>
        <w:rPr>
          <w:lang w:val="en-US"/>
        </w:rPr>
        <w:br w:type="page"/>
      </w:r>
    </w:p>
    <w:tbl>
      <w:tblPr>
        <w:tblStyle w:val="TableGrid"/>
        <w:tblW w:w="0" w:type="auto"/>
        <w:shd w:val="clear" w:color="auto" w:fill="BFBFBF" w:themeFill="background1" w:themeFillShade="BF"/>
        <w:tblLook w:val="04A0" w:firstRow="1" w:lastRow="0" w:firstColumn="1" w:lastColumn="0" w:noHBand="0" w:noVBand="1"/>
      </w:tblPr>
      <w:tblGrid>
        <w:gridCol w:w="10763"/>
      </w:tblGrid>
      <w:tr w:rsidR="00736B47" w:rsidRPr="008049F5" w14:paraId="13B4A114" w14:textId="77777777" w:rsidTr="00AC0D61">
        <w:trPr>
          <w:trHeight w:val="321"/>
        </w:trPr>
        <w:tc>
          <w:tcPr>
            <w:tcW w:w="10763" w:type="dxa"/>
            <w:shd w:val="clear" w:color="auto" w:fill="BFBFBF" w:themeFill="background1" w:themeFillShade="BF"/>
            <w:vAlign w:val="center"/>
          </w:tcPr>
          <w:p w14:paraId="4CAC93F3" w14:textId="6810307A" w:rsidR="00736B47" w:rsidRPr="000F66B8" w:rsidRDefault="00736B47" w:rsidP="00AC0D61">
            <w:pPr>
              <w:rPr>
                <w:b/>
                <w:bCs/>
                <w:sz w:val="24"/>
                <w:szCs w:val="24"/>
                <w:lang w:val="en-US"/>
              </w:rPr>
            </w:pPr>
            <w:r>
              <w:rPr>
                <w:b/>
                <w:bCs/>
                <w:sz w:val="24"/>
                <w:szCs w:val="24"/>
                <w:lang w:val="en-US"/>
              </w:rPr>
              <w:lastRenderedPageBreak/>
              <w:t>3.2</w:t>
            </w:r>
            <w:r w:rsidRPr="000F66B8">
              <w:rPr>
                <w:b/>
                <w:bCs/>
                <w:sz w:val="24"/>
                <w:szCs w:val="24"/>
                <w:lang w:val="en-US"/>
              </w:rPr>
              <w:t xml:space="preserve"> –</w:t>
            </w:r>
            <w:r>
              <w:rPr>
                <w:b/>
                <w:bCs/>
                <w:sz w:val="24"/>
                <w:szCs w:val="24"/>
                <w:lang w:val="en-US"/>
              </w:rPr>
              <w:t xml:space="preserve"> Relation between Business Domain </w:t>
            </w:r>
            <w:r w:rsidR="1A2B0BE0" w:rsidRPr="1A2B0BE0">
              <w:rPr>
                <w:b/>
                <w:bCs/>
                <w:sz w:val="24"/>
                <w:szCs w:val="24"/>
                <w:lang w:val="en-US"/>
              </w:rPr>
              <w:t xml:space="preserve">Construction + </w:t>
            </w:r>
            <w:r>
              <w:rPr>
                <w:b/>
                <w:bCs/>
                <w:sz w:val="24"/>
                <w:szCs w:val="24"/>
                <w:lang w:val="en-US"/>
              </w:rPr>
              <w:t xml:space="preserve">Driver </w:t>
            </w:r>
            <w:r w:rsidR="1A2B0BE0" w:rsidRPr="1A2B0BE0">
              <w:rPr>
                <w:b/>
                <w:bCs/>
                <w:sz w:val="24"/>
                <w:szCs w:val="24"/>
                <w:lang w:val="en-US"/>
              </w:rPr>
              <w:t xml:space="preserve">Digital Twins </w:t>
            </w:r>
            <w:r>
              <w:rPr>
                <w:b/>
                <w:bCs/>
                <w:sz w:val="24"/>
                <w:szCs w:val="24"/>
                <w:lang w:val="en-US"/>
              </w:rPr>
              <w:t>(Free description)</w:t>
            </w:r>
          </w:p>
        </w:tc>
      </w:tr>
    </w:tbl>
    <w:p w14:paraId="139440E7" w14:textId="77777777" w:rsidR="00736B47" w:rsidRDefault="00736B47" w:rsidP="00736B47">
      <w:pPr>
        <w:jc w:val="both"/>
        <w:rPr>
          <w:b/>
          <w:bCs/>
          <w:u w:val="single"/>
          <w:lang w:val="en-US"/>
        </w:rPr>
      </w:pPr>
    </w:p>
    <w:p w14:paraId="13002195" w14:textId="6EDD960D" w:rsidR="00AB0CF5" w:rsidRPr="00125438" w:rsidRDefault="00AB0CF5" w:rsidP="00E70D1E">
      <w:pPr>
        <w:jc w:val="both"/>
        <w:rPr>
          <w:b/>
          <w:bCs/>
          <w:u w:val="single"/>
          <w:lang w:val="en-US"/>
        </w:rPr>
      </w:pPr>
      <w:r w:rsidRPr="00AB0CF5">
        <w:rPr>
          <w:lang w:val="en-US"/>
        </w:rPr>
        <w:t>The residential construction industry is undergoing a transformative shift with the adoption of digital twin technology. Digital twins are virtual replicas of physical buildings, created by integrating real-time data from various sources such as sensors, building information modeling (BIM), and IoT devices. This technology represents a significant step towards innovation, offering a data-driven approach to the design, construction, and maintenance of homes.</w:t>
      </w:r>
    </w:p>
    <w:p w14:paraId="07150296" w14:textId="77777777" w:rsidR="00AB0CF5" w:rsidRPr="00AB0CF5" w:rsidRDefault="00AB0CF5" w:rsidP="00E70D1E">
      <w:pPr>
        <w:jc w:val="both"/>
        <w:rPr>
          <w:lang w:val="en-US"/>
        </w:rPr>
      </w:pPr>
    </w:p>
    <w:p w14:paraId="4C10E379" w14:textId="77777777" w:rsidR="00AB0CF5" w:rsidRPr="00AB0CF5" w:rsidRDefault="00AB0CF5" w:rsidP="00E70D1E">
      <w:pPr>
        <w:jc w:val="both"/>
        <w:rPr>
          <w:lang w:val="en-US"/>
        </w:rPr>
      </w:pPr>
      <w:r w:rsidRPr="00AB0CF5">
        <w:rPr>
          <w:lang w:val="en-US"/>
        </w:rPr>
        <w:t>Digital twins allow construction companies to enhance accuracy and efficiency in their projects. By simulating every aspect of a building's lifecycle, from initial design to ongoing maintenance, these virtual models help optimize project timelines, reduce costs, and improve overall building performance. This results in more sustainable practices, such as better resource management and reduced waste, benefiting both the environment and homeowners.</w:t>
      </w:r>
    </w:p>
    <w:p w14:paraId="3EF36E87" w14:textId="77777777" w:rsidR="00AB0CF5" w:rsidRPr="00AB0CF5" w:rsidRDefault="00AB0CF5" w:rsidP="00E70D1E">
      <w:pPr>
        <w:jc w:val="both"/>
        <w:rPr>
          <w:lang w:val="en-US"/>
        </w:rPr>
      </w:pPr>
    </w:p>
    <w:p w14:paraId="1BE3F528" w14:textId="77777777" w:rsidR="00AB0CF5" w:rsidRPr="00AB0CF5" w:rsidRDefault="00AB0CF5" w:rsidP="00E70D1E">
      <w:pPr>
        <w:jc w:val="both"/>
        <w:rPr>
          <w:lang w:val="en-US"/>
        </w:rPr>
      </w:pPr>
      <w:r w:rsidRPr="00AB0CF5">
        <w:rPr>
          <w:lang w:val="en-US"/>
        </w:rPr>
        <w:t>One practical application of digital twin technology in residential construction is in the development of smart homes. These homes are equipped with sensors that monitor various systems, such as HVAC, lighting, and security. The digital twin collects and analyzes this data, allowing homeowners to optimize energy usage, improve comfort, and enhance security. Predictive maintenance enabled by digital twins ensures that potential issues are addressed before they become significant problems, extending the life of home systems and reducing repair costs.</w:t>
      </w:r>
    </w:p>
    <w:p w14:paraId="1340B748" w14:textId="77777777" w:rsidR="00AB0CF5" w:rsidRPr="00AB0CF5" w:rsidRDefault="00AB0CF5" w:rsidP="00E70D1E">
      <w:pPr>
        <w:jc w:val="both"/>
        <w:rPr>
          <w:lang w:val="en-US"/>
        </w:rPr>
      </w:pPr>
    </w:p>
    <w:p w14:paraId="34C3FE07" w14:textId="77777777" w:rsidR="00AB0CF5" w:rsidRPr="00AB0CF5" w:rsidRDefault="00AB0CF5" w:rsidP="00E70D1E">
      <w:pPr>
        <w:jc w:val="both"/>
        <w:rPr>
          <w:lang w:val="en-US"/>
        </w:rPr>
      </w:pPr>
      <w:r w:rsidRPr="00AB0CF5">
        <w:rPr>
          <w:lang w:val="en-US"/>
        </w:rPr>
        <w:t>Digital twins also facilitate a collaborative approach to construction. Architects, engineers, and builders can work together more effectively, using the digital twin as a common reference point. This collaboration improves decision-making and ensures that all stakeholders are aligned throughout the construction process. Homeowners benefit from this synergy, as they receive a home that is tailored to their needs and preferences, built with precision and care.</w:t>
      </w:r>
    </w:p>
    <w:p w14:paraId="5DF52736" w14:textId="77777777" w:rsidR="00AB0CF5" w:rsidRPr="00AB0CF5" w:rsidRDefault="00AB0CF5" w:rsidP="00E70D1E">
      <w:pPr>
        <w:jc w:val="both"/>
        <w:rPr>
          <w:lang w:val="en-US"/>
        </w:rPr>
      </w:pPr>
    </w:p>
    <w:p w14:paraId="20EE2633" w14:textId="77777777" w:rsidR="00AB0CF5" w:rsidRPr="00AB0CF5" w:rsidRDefault="00AB0CF5" w:rsidP="00E70D1E">
      <w:pPr>
        <w:jc w:val="both"/>
        <w:rPr>
          <w:lang w:val="en-US"/>
        </w:rPr>
      </w:pPr>
      <w:r w:rsidRPr="00AB0CF5">
        <w:rPr>
          <w:lang w:val="en-US"/>
        </w:rPr>
        <w:t>Beyond individual projects, the aggregated data from digital twins can inform broader industry trends and best practices. Construction firms can analyze this data to improve future projects, refine material selection, and comply with evolving regulations. This adaptability is crucial in a rapidly changing industry, enabling companies to stay competitive and innovative.</w:t>
      </w:r>
    </w:p>
    <w:p w14:paraId="6B3C355C" w14:textId="77777777" w:rsidR="00AB0CF5" w:rsidRPr="00AB0CF5" w:rsidRDefault="00AB0CF5" w:rsidP="00E70D1E">
      <w:pPr>
        <w:jc w:val="both"/>
        <w:rPr>
          <w:lang w:val="en-US"/>
        </w:rPr>
      </w:pPr>
    </w:p>
    <w:p w14:paraId="7FD80B85" w14:textId="77777777" w:rsidR="00AB0CF5" w:rsidRPr="00AB0CF5" w:rsidRDefault="00AB0CF5" w:rsidP="00E70D1E">
      <w:pPr>
        <w:jc w:val="both"/>
        <w:rPr>
          <w:lang w:val="en-US"/>
        </w:rPr>
      </w:pPr>
      <w:r w:rsidRPr="00AB0CF5">
        <w:rPr>
          <w:lang w:val="en-US"/>
        </w:rPr>
        <w:t>Despite the numerous benefits, the integration of digital twin technology also presents challenges. Data privacy and cybersecurity are paramount concerns, as the sensitive information collected by digital twins must be protected from unauthorized access. Additionally, regulatory compliance must be ensured to maintain the trust of homeowners and other stakeholders. Addressing these challenges requires a concerted effort from technology providers, construction firms, regulators, and consumers.</w:t>
      </w:r>
    </w:p>
    <w:p w14:paraId="1E3EEC52" w14:textId="77777777" w:rsidR="00AB0CF5" w:rsidRPr="00AB0CF5" w:rsidRDefault="00AB0CF5" w:rsidP="00E70D1E">
      <w:pPr>
        <w:jc w:val="both"/>
        <w:rPr>
          <w:lang w:val="en-US"/>
        </w:rPr>
      </w:pPr>
    </w:p>
    <w:p w14:paraId="5ADDA62F" w14:textId="64AEFDFB" w:rsidR="00E122AD" w:rsidRDefault="00AB0CF5" w:rsidP="00E70D1E">
      <w:pPr>
        <w:jc w:val="both"/>
        <w:rPr>
          <w:lang w:val="en-US"/>
        </w:rPr>
      </w:pPr>
      <w:r w:rsidRPr="00AB0CF5">
        <w:rPr>
          <w:lang w:val="en-US"/>
        </w:rPr>
        <w:t>In summary, digital twins are revolutionizing the residential construction industry. By providing detailed, real-time insights into every stage of a building's lifecycle, they enable more accurate, efficient, and sustainable construction practices. This technological advancement not only enhances the quality and performance of homes but also fosters a more collaborative and innovative industry. As construction firms continue to embrace digital twin technology, they will be better equipped to meet the demands of the future, creating smarter, more sustainable living environments.</w:t>
      </w:r>
    </w:p>
    <w:sectPr w:rsidR="00E122AD" w:rsidSect="00112B33">
      <w:headerReference w:type="default" r:id="rId14"/>
      <w:pgSz w:w="11906" w:h="16838"/>
      <w:pgMar w:top="567" w:right="566"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DDA06" w14:textId="77777777" w:rsidR="00DB0027" w:rsidRDefault="00DB0027" w:rsidP="00C1213D">
      <w:pPr>
        <w:spacing w:after="0" w:line="240" w:lineRule="auto"/>
      </w:pPr>
      <w:r>
        <w:separator/>
      </w:r>
    </w:p>
  </w:endnote>
  <w:endnote w:type="continuationSeparator" w:id="0">
    <w:p w14:paraId="133948AF" w14:textId="77777777" w:rsidR="00DB0027" w:rsidRDefault="00DB0027" w:rsidP="00C1213D">
      <w:pPr>
        <w:spacing w:after="0" w:line="240" w:lineRule="auto"/>
      </w:pPr>
      <w:r>
        <w:continuationSeparator/>
      </w:r>
    </w:p>
  </w:endnote>
  <w:endnote w:type="continuationNotice" w:id="1">
    <w:p w14:paraId="5931E904" w14:textId="77777777" w:rsidR="00DB0027" w:rsidRDefault="00DB00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3B77A" w14:textId="77777777" w:rsidR="00DB0027" w:rsidRDefault="00DB0027" w:rsidP="00C1213D">
      <w:pPr>
        <w:spacing w:after="0" w:line="240" w:lineRule="auto"/>
      </w:pPr>
      <w:r>
        <w:separator/>
      </w:r>
    </w:p>
  </w:footnote>
  <w:footnote w:type="continuationSeparator" w:id="0">
    <w:p w14:paraId="0275C54C" w14:textId="77777777" w:rsidR="00DB0027" w:rsidRDefault="00DB0027" w:rsidP="00C1213D">
      <w:pPr>
        <w:spacing w:after="0" w:line="240" w:lineRule="auto"/>
      </w:pPr>
      <w:r>
        <w:continuationSeparator/>
      </w:r>
    </w:p>
  </w:footnote>
  <w:footnote w:type="continuationNotice" w:id="1">
    <w:p w14:paraId="64ACC870" w14:textId="77777777" w:rsidR="00DB0027" w:rsidRDefault="00DB00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68" w:type="dxa"/>
      <w:tblLook w:val="04A0" w:firstRow="1" w:lastRow="0" w:firstColumn="1" w:lastColumn="0" w:noHBand="0" w:noVBand="1"/>
    </w:tblPr>
    <w:tblGrid>
      <w:gridCol w:w="9707"/>
      <w:gridCol w:w="1061"/>
    </w:tblGrid>
    <w:tr w:rsidR="00C1213D" w:rsidRPr="00AA3883" w14:paraId="0EDEDD0D" w14:textId="77777777" w:rsidTr="00CC46BB">
      <w:trPr>
        <w:trHeight w:val="253"/>
      </w:trPr>
      <w:tc>
        <w:tcPr>
          <w:tcW w:w="9707" w:type="dxa"/>
        </w:tcPr>
        <w:p w14:paraId="72481D74" w14:textId="78CC72A2" w:rsidR="00C1213D" w:rsidRPr="00AA3883" w:rsidRDefault="00544B23" w:rsidP="00C1213D">
          <w:pPr>
            <w:pStyle w:val="Header"/>
            <w:rPr>
              <w:sz w:val="20"/>
              <w:szCs w:val="20"/>
              <w:lang w:val="en-US"/>
            </w:rPr>
          </w:pPr>
          <w:r>
            <w:rPr>
              <w:sz w:val="20"/>
              <w:szCs w:val="20"/>
              <w:lang w:val="en-US"/>
            </w:rPr>
            <w:t>S</w:t>
          </w:r>
          <w:r w:rsidR="00C1213D" w:rsidRPr="00AA3883">
            <w:rPr>
              <w:sz w:val="20"/>
              <w:szCs w:val="20"/>
              <w:lang w:val="en-US"/>
            </w:rPr>
            <w:t>GSI 202</w:t>
          </w:r>
          <w:r w:rsidR="00D32368">
            <w:rPr>
              <w:sz w:val="20"/>
              <w:szCs w:val="20"/>
              <w:lang w:val="en-US"/>
            </w:rPr>
            <w:t>3</w:t>
          </w:r>
          <w:r w:rsidR="00C1213D" w:rsidRPr="00AA3883">
            <w:rPr>
              <w:sz w:val="20"/>
              <w:szCs w:val="20"/>
              <w:lang w:val="en-US"/>
            </w:rPr>
            <w:t>/202</w:t>
          </w:r>
          <w:r w:rsidR="00D32368">
            <w:rPr>
              <w:sz w:val="20"/>
              <w:szCs w:val="20"/>
              <w:lang w:val="en-US"/>
            </w:rPr>
            <w:t>4</w:t>
          </w:r>
          <w:r w:rsidR="00C1213D" w:rsidRPr="00AA3883">
            <w:rPr>
              <w:sz w:val="20"/>
              <w:szCs w:val="20"/>
              <w:lang w:val="en-US"/>
            </w:rPr>
            <w:t xml:space="preserve"> – Group </w:t>
          </w:r>
          <w:r w:rsidR="00D12AB0">
            <w:rPr>
              <w:b/>
              <w:bCs/>
              <w:sz w:val="20"/>
              <w:szCs w:val="20"/>
              <w:u w:val="single"/>
              <w:lang w:val="en-US"/>
            </w:rPr>
            <w:t>P2</w:t>
          </w:r>
          <w:r w:rsidR="002D290E">
            <w:rPr>
              <w:b/>
              <w:bCs/>
              <w:sz w:val="20"/>
              <w:szCs w:val="20"/>
              <w:u w:val="single"/>
              <w:lang w:val="en-US"/>
            </w:rPr>
            <w:t>T02</w:t>
          </w:r>
          <w:r w:rsidR="00C1213D" w:rsidRPr="00AA3883">
            <w:rPr>
              <w:sz w:val="20"/>
              <w:szCs w:val="20"/>
              <w:lang w:val="en-US"/>
            </w:rPr>
            <w:t xml:space="preserve"> –</w:t>
          </w:r>
          <w:r w:rsidR="00410225">
            <w:rPr>
              <w:sz w:val="20"/>
              <w:szCs w:val="20"/>
              <w:lang w:val="en-US"/>
            </w:rPr>
            <w:t xml:space="preserve"> </w:t>
          </w:r>
          <w:r w:rsidR="00C1213D" w:rsidRPr="00410225">
            <w:rPr>
              <w:sz w:val="20"/>
              <w:szCs w:val="20"/>
              <w:lang w:val="en-US"/>
            </w:rPr>
            <w:t>Consolidation</w:t>
          </w:r>
          <w:r w:rsidR="00C1213D" w:rsidRPr="00AA3883">
            <w:rPr>
              <w:sz w:val="20"/>
              <w:szCs w:val="20"/>
              <w:lang w:val="en-US"/>
            </w:rPr>
            <w:t xml:space="preserve"> Phase</w:t>
          </w:r>
        </w:p>
      </w:tc>
      <w:tc>
        <w:tcPr>
          <w:tcW w:w="1061" w:type="dxa"/>
          <w:vMerge w:val="restart"/>
        </w:tcPr>
        <w:p w14:paraId="0BC5AF7D" w14:textId="634B5CA2" w:rsidR="00C1213D" w:rsidRPr="00AA3883" w:rsidRDefault="00C1213D" w:rsidP="00C1213D">
          <w:pPr>
            <w:pStyle w:val="Header"/>
            <w:jc w:val="center"/>
            <w:rPr>
              <w:sz w:val="20"/>
              <w:szCs w:val="20"/>
              <w:lang w:val="en-US"/>
            </w:rPr>
          </w:pPr>
          <w:r w:rsidRPr="00AA3883">
            <w:rPr>
              <w:sz w:val="20"/>
              <w:szCs w:val="20"/>
              <w:lang w:val="en-US"/>
            </w:rPr>
            <w:t>Page</w:t>
          </w:r>
        </w:p>
        <w:p w14:paraId="539ED1AE" w14:textId="39EA0EED" w:rsidR="00C1213D" w:rsidRPr="00AA3883" w:rsidRDefault="00C1213D" w:rsidP="00C1213D">
          <w:pPr>
            <w:pStyle w:val="Header"/>
            <w:jc w:val="center"/>
            <w:rPr>
              <w:sz w:val="20"/>
              <w:szCs w:val="20"/>
              <w:lang w:val="en-US"/>
            </w:rPr>
          </w:pPr>
          <w:r w:rsidRPr="00AA3883">
            <w:rPr>
              <w:b/>
              <w:bCs/>
              <w:sz w:val="20"/>
              <w:szCs w:val="20"/>
              <w:lang w:val="en-US"/>
            </w:rPr>
            <w:fldChar w:fldCharType="begin"/>
          </w:r>
          <w:r w:rsidRPr="00AA3883">
            <w:rPr>
              <w:b/>
              <w:bCs/>
              <w:sz w:val="20"/>
              <w:szCs w:val="20"/>
              <w:lang w:val="en-US"/>
            </w:rPr>
            <w:instrText>PAGE  \* Arabic  \* MERGEFORMAT</w:instrText>
          </w:r>
          <w:r w:rsidRPr="00AA3883">
            <w:rPr>
              <w:b/>
              <w:bCs/>
              <w:sz w:val="20"/>
              <w:szCs w:val="20"/>
              <w:lang w:val="en-US"/>
            </w:rPr>
            <w:fldChar w:fldCharType="separate"/>
          </w:r>
          <w:r w:rsidRPr="00AA3883">
            <w:rPr>
              <w:b/>
              <w:bCs/>
              <w:sz w:val="20"/>
              <w:szCs w:val="20"/>
              <w:lang w:val="en-US"/>
            </w:rPr>
            <w:t>1</w:t>
          </w:r>
          <w:r w:rsidRPr="00AA3883">
            <w:rPr>
              <w:b/>
              <w:bCs/>
              <w:sz w:val="20"/>
              <w:szCs w:val="20"/>
              <w:lang w:val="en-US"/>
            </w:rPr>
            <w:fldChar w:fldCharType="end"/>
          </w:r>
          <w:r w:rsidRPr="00AA3883">
            <w:rPr>
              <w:sz w:val="20"/>
              <w:szCs w:val="20"/>
              <w:lang w:val="en-US"/>
            </w:rPr>
            <w:t xml:space="preserve"> of </w:t>
          </w:r>
          <w:r w:rsidRPr="00AA3883">
            <w:rPr>
              <w:b/>
              <w:bCs/>
              <w:sz w:val="20"/>
              <w:szCs w:val="20"/>
              <w:lang w:val="en-US"/>
            </w:rPr>
            <w:fldChar w:fldCharType="begin"/>
          </w:r>
          <w:r w:rsidRPr="00AA3883">
            <w:rPr>
              <w:b/>
              <w:bCs/>
              <w:sz w:val="20"/>
              <w:szCs w:val="20"/>
              <w:lang w:val="en-US"/>
            </w:rPr>
            <w:instrText>NUMPAGES  \* Arabic  \* MERGEFORMAT</w:instrText>
          </w:r>
          <w:r w:rsidRPr="00AA3883">
            <w:rPr>
              <w:b/>
              <w:bCs/>
              <w:sz w:val="20"/>
              <w:szCs w:val="20"/>
              <w:lang w:val="en-US"/>
            </w:rPr>
            <w:fldChar w:fldCharType="separate"/>
          </w:r>
          <w:r w:rsidRPr="00AA3883">
            <w:rPr>
              <w:b/>
              <w:bCs/>
              <w:sz w:val="20"/>
              <w:szCs w:val="20"/>
              <w:lang w:val="en-US"/>
            </w:rPr>
            <w:t>2</w:t>
          </w:r>
          <w:r w:rsidRPr="00AA3883">
            <w:rPr>
              <w:b/>
              <w:bCs/>
              <w:sz w:val="20"/>
              <w:szCs w:val="20"/>
              <w:lang w:val="en-US"/>
            </w:rPr>
            <w:fldChar w:fldCharType="end"/>
          </w:r>
        </w:p>
      </w:tc>
    </w:tr>
    <w:tr w:rsidR="00C1213D" w:rsidRPr="00AB0CF5" w14:paraId="77413511" w14:textId="77777777" w:rsidTr="00CC46BB">
      <w:trPr>
        <w:trHeight w:val="253"/>
      </w:trPr>
      <w:tc>
        <w:tcPr>
          <w:tcW w:w="9707" w:type="dxa"/>
        </w:tcPr>
        <w:p w14:paraId="357CE5B5" w14:textId="72BFC9CC" w:rsidR="00C1213D" w:rsidRPr="00964DEA" w:rsidRDefault="00410225" w:rsidP="00C1213D">
          <w:pPr>
            <w:pStyle w:val="Header"/>
            <w:jc w:val="both"/>
            <w:rPr>
              <w:b/>
              <w:bCs/>
              <w:sz w:val="20"/>
              <w:szCs w:val="20"/>
              <w:u w:val="single"/>
              <w:lang w:val="en-US"/>
            </w:rPr>
          </w:pPr>
          <w:r>
            <w:rPr>
              <w:b/>
              <w:bCs/>
              <w:sz w:val="20"/>
              <w:szCs w:val="20"/>
              <w:u w:val="single"/>
              <w:lang w:val="en-US"/>
            </w:rPr>
            <w:t>Research groups: P</w:t>
          </w:r>
          <w:r w:rsidR="002D290E">
            <w:rPr>
              <w:b/>
              <w:bCs/>
              <w:sz w:val="20"/>
              <w:szCs w:val="20"/>
              <w:u w:val="single"/>
              <w:lang w:val="en-US"/>
            </w:rPr>
            <w:t>1T02</w:t>
          </w:r>
          <w:r>
            <w:rPr>
              <w:b/>
              <w:bCs/>
              <w:sz w:val="20"/>
              <w:szCs w:val="20"/>
              <w:u w:val="single"/>
              <w:lang w:val="en-US"/>
            </w:rPr>
            <w:t xml:space="preserve"> – </w:t>
          </w:r>
          <w:r w:rsidR="00F57B43" w:rsidRPr="00F57B43">
            <w:rPr>
              <w:b/>
              <w:bCs/>
              <w:sz w:val="20"/>
              <w:szCs w:val="20"/>
              <w:u w:val="single"/>
              <w:lang w:val="en-US"/>
            </w:rPr>
            <w:t>P1T12</w:t>
          </w:r>
          <w:r>
            <w:rPr>
              <w:b/>
              <w:bCs/>
              <w:sz w:val="20"/>
              <w:szCs w:val="20"/>
              <w:u w:val="single"/>
              <w:lang w:val="en-US"/>
            </w:rPr>
            <w:t xml:space="preserve"> – P1</w:t>
          </w:r>
          <w:r w:rsidR="00F57B43">
            <w:rPr>
              <w:b/>
              <w:bCs/>
              <w:sz w:val="20"/>
              <w:szCs w:val="20"/>
              <w:u w:val="single"/>
              <w:lang w:val="en-US"/>
            </w:rPr>
            <w:t>A12</w:t>
          </w:r>
        </w:p>
      </w:tc>
      <w:tc>
        <w:tcPr>
          <w:tcW w:w="1061" w:type="dxa"/>
          <w:vMerge/>
        </w:tcPr>
        <w:p w14:paraId="13852DF8" w14:textId="77777777" w:rsidR="00C1213D" w:rsidRPr="00AA3883" w:rsidRDefault="00C1213D">
          <w:pPr>
            <w:pStyle w:val="Header"/>
            <w:rPr>
              <w:lang w:val="en-US"/>
            </w:rPr>
          </w:pPr>
        </w:p>
      </w:tc>
    </w:tr>
  </w:tbl>
  <w:p w14:paraId="328BACFF" w14:textId="77777777" w:rsidR="00C1213D" w:rsidRPr="00AA3883" w:rsidRDefault="00C1213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E32BF"/>
    <w:multiLevelType w:val="hybridMultilevel"/>
    <w:tmpl w:val="3AA8C9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0554EC"/>
    <w:multiLevelType w:val="hybridMultilevel"/>
    <w:tmpl w:val="3AA8C9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E553789"/>
    <w:multiLevelType w:val="hybridMultilevel"/>
    <w:tmpl w:val="9E84CE5A"/>
    <w:lvl w:ilvl="0" w:tplc="1500EF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53B4E45"/>
    <w:multiLevelType w:val="multilevel"/>
    <w:tmpl w:val="392488BA"/>
    <w:lvl w:ilvl="0">
      <w:start w:val="1"/>
      <w:numFmt w:val="decimal"/>
      <w:lvlText w:val="%1."/>
      <w:lvlJc w:val="left"/>
      <w:pPr>
        <w:tabs>
          <w:tab w:val="num" w:pos="720"/>
        </w:tabs>
        <w:ind w:left="720" w:hanging="360"/>
      </w:pPr>
      <w:rPr>
        <w:rFonts w:ascii="Open Sans" w:eastAsiaTheme="minorHAnsi" w:hAnsi="Open Sans" w:cs="Open Sans"/>
        <w:sz w:val="14"/>
        <w:szCs w:val="1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C3B4A"/>
    <w:multiLevelType w:val="multilevel"/>
    <w:tmpl w:val="702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34CB3"/>
    <w:multiLevelType w:val="hybridMultilevel"/>
    <w:tmpl w:val="ADA4E0BA"/>
    <w:lvl w:ilvl="0" w:tplc="3FAAA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7261441">
    <w:abstractNumId w:val="1"/>
  </w:num>
  <w:num w:numId="2" w16cid:durableId="1600600783">
    <w:abstractNumId w:val="2"/>
  </w:num>
  <w:num w:numId="3" w16cid:durableId="173883446">
    <w:abstractNumId w:val="0"/>
  </w:num>
  <w:num w:numId="4" w16cid:durableId="70856407">
    <w:abstractNumId w:val="5"/>
  </w:num>
  <w:num w:numId="5" w16cid:durableId="1524707852">
    <w:abstractNumId w:val="3"/>
  </w:num>
  <w:num w:numId="6" w16cid:durableId="1201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3D"/>
    <w:rsid w:val="00016101"/>
    <w:rsid w:val="0002491A"/>
    <w:rsid w:val="00035E43"/>
    <w:rsid w:val="00043441"/>
    <w:rsid w:val="00096CDA"/>
    <w:rsid w:val="000E2596"/>
    <w:rsid w:val="000F5C29"/>
    <w:rsid w:val="000F66B8"/>
    <w:rsid w:val="00112B33"/>
    <w:rsid w:val="00125438"/>
    <w:rsid w:val="00173DB0"/>
    <w:rsid w:val="001930EE"/>
    <w:rsid w:val="001C0478"/>
    <w:rsid w:val="001C27ED"/>
    <w:rsid w:val="001E180D"/>
    <w:rsid w:val="001E20FF"/>
    <w:rsid w:val="001F3351"/>
    <w:rsid w:val="00216AA9"/>
    <w:rsid w:val="00237910"/>
    <w:rsid w:val="002432BE"/>
    <w:rsid w:val="0027267C"/>
    <w:rsid w:val="00285686"/>
    <w:rsid w:val="00293C54"/>
    <w:rsid w:val="00296B40"/>
    <w:rsid w:val="002B3A0F"/>
    <w:rsid w:val="002D290E"/>
    <w:rsid w:val="002E3DC9"/>
    <w:rsid w:val="002F2761"/>
    <w:rsid w:val="00317716"/>
    <w:rsid w:val="00331592"/>
    <w:rsid w:val="00331C54"/>
    <w:rsid w:val="0033599E"/>
    <w:rsid w:val="00335C69"/>
    <w:rsid w:val="00337C78"/>
    <w:rsid w:val="003654CA"/>
    <w:rsid w:val="00371469"/>
    <w:rsid w:val="003855D2"/>
    <w:rsid w:val="003B0722"/>
    <w:rsid w:val="003B537E"/>
    <w:rsid w:val="003D39E1"/>
    <w:rsid w:val="003F2EBA"/>
    <w:rsid w:val="00410225"/>
    <w:rsid w:val="00412DFA"/>
    <w:rsid w:val="00430FF6"/>
    <w:rsid w:val="00461C93"/>
    <w:rsid w:val="00472AEC"/>
    <w:rsid w:val="00480934"/>
    <w:rsid w:val="004C520E"/>
    <w:rsid w:val="004E156C"/>
    <w:rsid w:val="004E2F92"/>
    <w:rsid w:val="004F18F8"/>
    <w:rsid w:val="00540D6A"/>
    <w:rsid w:val="00544B23"/>
    <w:rsid w:val="00585D17"/>
    <w:rsid w:val="00593A20"/>
    <w:rsid w:val="005A6619"/>
    <w:rsid w:val="005B4650"/>
    <w:rsid w:val="005B7D0E"/>
    <w:rsid w:val="005F140A"/>
    <w:rsid w:val="005F23AA"/>
    <w:rsid w:val="005F4947"/>
    <w:rsid w:val="006127FD"/>
    <w:rsid w:val="0062527C"/>
    <w:rsid w:val="00691A8F"/>
    <w:rsid w:val="006E0693"/>
    <w:rsid w:val="00704622"/>
    <w:rsid w:val="00710C93"/>
    <w:rsid w:val="00727828"/>
    <w:rsid w:val="007342C4"/>
    <w:rsid w:val="00736B47"/>
    <w:rsid w:val="0078307E"/>
    <w:rsid w:val="007C21B7"/>
    <w:rsid w:val="007C38B2"/>
    <w:rsid w:val="007C5C90"/>
    <w:rsid w:val="007F7550"/>
    <w:rsid w:val="008049F5"/>
    <w:rsid w:val="00843A80"/>
    <w:rsid w:val="008646F1"/>
    <w:rsid w:val="008B2FE1"/>
    <w:rsid w:val="00901F0C"/>
    <w:rsid w:val="009210D9"/>
    <w:rsid w:val="00964DEA"/>
    <w:rsid w:val="00966D2E"/>
    <w:rsid w:val="009835F9"/>
    <w:rsid w:val="009859C8"/>
    <w:rsid w:val="009865BB"/>
    <w:rsid w:val="00994519"/>
    <w:rsid w:val="009B271A"/>
    <w:rsid w:val="009C20D9"/>
    <w:rsid w:val="009F3F99"/>
    <w:rsid w:val="00A202FB"/>
    <w:rsid w:val="00A2684B"/>
    <w:rsid w:val="00A316D5"/>
    <w:rsid w:val="00A63B04"/>
    <w:rsid w:val="00A67DBD"/>
    <w:rsid w:val="00A724C2"/>
    <w:rsid w:val="00A92D2D"/>
    <w:rsid w:val="00AA3883"/>
    <w:rsid w:val="00AA6ECB"/>
    <w:rsid w:val="00AB0CF5"/>
    <w:rsid w:val="00AC3DA9"/>
    <w:rsid w:val="00AC5B1D"/>
    <w:rsid w:val="00AE140A"/>
    <w:rsid w:val="00AE66EC"/>
    <w:rsid w:val="00AF5101"/>
    <w:rsid w:val="00B3026C"/>
    <w:rsid w:val="00B35C5B"/>
    <w:rsid w:val="00B406A2"/>
    <w:rsid w:val="00B43EF1"/>
    <w:rsid w:val="00B62F3B"/>
    <w:rsid w:val="00B730C4"/>
    <w:rsid w:val="00B83D57"/>
    <w:rsid w:val="00BA0040"/>
    <w:rsid w:val="00BB2628"/>
    <w:rsid w:val="00BB652E"/>
    <w:rsid w:val="00BC3C17"/>
    <w:rsid w:val="00BD341F"/>
    <w:rsid w:val="00BE73C1"/>
    <w:rsid w:val="00C01E55"/>
    <w:rsid w:val="00C1213D"/>
    <w:rsid w:val="00C24220"/>
    <w:rsid w:val="00C333AB"/>
    <w:rsid w:val="00C5312A"/>
    <w:rsid w:val="00C62E25"/>
    <w:rsid w:val="00C66332"/>
    <w:rsid w:val="00C71AF7"/>
    <w:rsid w:val="00CC1B0D"/>
    <w:rsid w:val="00CC46BB"/>
    <w:rsid w:val="00CC5FED"/>
    <w:rsid w:val="00D10DC8"/>
    <w:rsid w:val="00D12AB0"/>
    <w:rsid w:val="00D32368"/>
    <w:rsid w:val="00D42F2D"/>
    <w:rsid w:val="00D57139"/>
    <w:rsid w:val="00D64B7A"/>
    <w:rsid w:val="00D65A1F"/>
    <w:rsid w:val="00D71A2D"/>
    <w:rsid w:val="00D9025D"/>
    <w:rsid w:val="00D92B63"/>
    <w:rsid w:val="00DA78ED"/>
    <w:rsid w:val="00DB0027"/>
    <w:rsid w:val="00DB0CA6"/>
    <w:rsid w:val="00DB2438"/>
    <w:rsid w:val="00DB4634"/>
    <w:rsid w:val="00DB67BF"/>
    <w:rsid w:val="00DB716D"/>
    <w:rsid w:val="00DC6DA4"/>
    <w:rsid w:val="00DE2F55"/>
    <w:rsid w:val="00E03DBD"/>
    <w:rsid w:val="00E122AD"/>
    <w:rsid w:val="00E15434"/>
    <w:rsid w:val="00E2548C"/>
    <w:rsid w:val="00E35389"/>
    <w:rsid w:val="00E40A91"/>
    <w:rsid w:val="00E4322E"/>
    <w:rsid w:val="00E441F5"/>
    <w:rsid w:val="00E60133"/>
    <w:rsid w:val="00E62CDC"/>
    <w:rsid w:val="00E70D1E"/>
    <w:rsid w:val="00E966D7"/>
    <w:rsid w:val="00EC024E"/>
    <w:rsid w:val="00EC6273"/>
    <w:rsid w:val="00EC6A87"/>
    <w:rsid w:val="00F11060"/>
    <w:rsid w:val="00F114EF"/>
    <w:rsid w:val="00F259D1"/>
    <w:rsid w:val="00F3219A"/>
    <w:rsid w:val="00F4647F"/>
    <w:rsid w:val="00F47FC1"/>
    <w:rsid w:val="00F5290A"/>
    <w:rsid w:val="00F5356C"/>
    <w:rsid w:val="00F57B43"/>
    <w:rsid w:val="00F72AB2"/>
    <w:rsid w:val="00F736FD"/>
    <w:rsid w:val="00FA6D9E"/>
    <w:rsid w:val="00FB0452"/>
    <w:rsid w:val="00FB350C"/>
    <w:rsid w:val="00FC684A"/>
    <w:rsid w:val="00FD56CC"/>
    <w:rsid w:val="013B1EE3"/>
    <w:rsid w:val="14B591EB"/>
    <w:rsid w:val="1A2B0BE0"/>
    <w:rsid w:val="1E1C29DD"/>
    <w:rsid w:val="238BFB7B"/>
    <w:rsid w:val="26F647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1F681"/>
  <w15:chartTrackingRefBased/>
  <w15:docId w15:val="{EE6F7043-98E5-422E-8F8C-BDE2F35B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13D"/>
  </w:style>
  <w:style w:type="paragraph" w:styleId="Footer">
    <w:name w:val="footer"/>
    <w:basedOn w:val="Normal"/>
    <w:link w:val="FooterChar"/>
    <w:uiPriority w:val="99"/>
    <w:unhideWhenUsed/>
    <w:rsid w:val="00C12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13D"/>
  </w:style>
  <w:style w:type="table" w:styleId="TableGrid">
    <w:name w:val="Table Grid"/>
    <w:basedOn w:val="TableNormal"/>
    <w:uiPriority w:val="39"/>
    <w:rsid w:val="00C1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6101"/>
    <w:pPr>
      <w:ind w:left="720"/>
      <w:contextualSpacing/>
    </w:pPr>
  </w:style>
  <w:style w:type="character" w:styleId="Hyperlink">
    <w:name w:val="Hyperlink"/>
    <w:basedOn w:val="DefaultParagraphFont"/>
    <w:uiPriority w:val="99"/>
    <w:unhideWhenUsed/>
    <w:rsid w:val="00704622"/>
    <w:rPr>
      <w:color w:val="0563C1" w:themeColor="hyperlink"/>
      <w:u w:val="single"/>
    </w:rPr>
  </w:style>
  <w:style w:type="character" w:styleId="UnresolvedMention">
    <w:name w:val="Unresolved Mention"/>
    <w:basedOn w:val="DefaultParagraphFont"/>
    <w:uiPriority w:val="99"/>
    <w:semiHidden/>
    <w:unhideWhenUsed/>
    <w:rsid w:val="00704622"/>
    <w:rPr>
      <w:color w:val="605E5C"/>
      <w:shd w:val="clear" w:color="auto" w:fill="E1DFDD"/>
    </w:rPr>
  </w:style>
  <w:style w:type="character" w:customStyle="1" w:styleId="mixed-citation">
    <w:name w:val="mixed-citation"/>
    <w:basedOn w:val="DefaultParagraphFont"/>
    <w:rsid w:val="00F4647F"/>
  </w:style>
  <w:style w:type="character" w:customStyle="1" w:styleId="ref-title">
    <w:name w:val="ref-title"/>
    <w:basedOn w:val="DefaultParagraphFont"/>
    <w:rsid w:val="00F4647F"/>
  </w:style>
  <w:style w:type="character" w:customStyle="1" w:styleId="ref-journal">
    <w:name w:val="ref-journal"/>
    <w:basedOn w:val="DefaultParagraphFont"/>
    <w:rsid w:val="00F4647F"/>
  </w:style>
  <w:style w:type="character" w:customStyle="1" w:styleId="nowrap">
    <w:name w:val="nowrap"/>
    <w:basedOn w:val="DefaultParagraphFont"/>
    <w:rsid w:val="00F4647F"/>
  </w:style>
  <w:style w:type="character" w:customStyle="1" w:styleId="author">
    <w:name w:val="author"/>
    <w:basedOn w:val="DefaultParagraphFont"/>
    <w:rsid w:val="00F4647F"/>
  </w:style>
  <w:style w:type="character" w:customStyle="1" w:styleId="pubyear">
    <w:name w:val="pubyear"/>
    <w:basedOn w:val="DefaultParagraphFont"/>
    <w:rsid w:val="00F4647F"/>
  </w:style>
  <w:style w:type="character" w:customStyle="1" w:styleId="othertitle">
    <w:name w:val="othertitle"/>
    <w:basedOn w:val="DefaultParagraphFont"/>
    <w:rsid w:val="00F4647F"/>
  </w:style>
  <w:style w:type="character" w:styleId="FollowedHyperlink">
    <w:name w:val="FollowedHyperlink"/>
    <w:basedOn w:val="DefaultParagraphFont"/>
    <w:uiPriority w:val="99"/>
    <w:semiHidden/>
    <w:unhideWhenUsed/>
    <w:rsid w:val="00E96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39649">
      <w:bodyDiv w:val="1"/>
      <w:marLeft w:val="0"/>
      <w:marRight w:val="0"/>
      <w:marTop w:val="0"/>
      <w:marBottom w:val="0"/>
      <w:divBdr>
        <w:top w:val="none" w:sz="0" w:space="0" w:color="auto"/>
        <w:left w:val="none" w:sz="0" w:space="0" w:color="auto"/>
        <w:bottom w:val="none" w:sz="0" w:space="0" w:color="auto"/>
        <w:right w:val="none" w:sz="0" w:space="0" w:color="auto"/>
      </w:divBdr>
    </w:div>
    <w:div w:id="559633995">
      <w:bodyDiv w:val="1"/>
      <w:marLeft w:val="0"/>
      <w:marRight w:val="0"/>
      <w:marTop w:val="0"/>
      <w:marBottom w:val="0"/>
      <w:divBdr>
        <w:top w:val="none" w:sz="0" w:space="0" w:color="auto"/>
        <w:left w:val="none" w:sz="0" w:space="0" w:color="auto"/>
        <w:bottom w:val="none" w:sz="0" w:space="0" w:color="auto"/>
        <w:right w:val="none" w:sz="0" w:space="0" w:color="auto"/>
      </w:divBdr>
    </w:div>
    <w:div w:id="741685654">
      <w:bodyDiv w:val="1"/>
      <w:marLeft w:val="0"/>
      <w:marRight w:val="0"/>
      <w:marTop w:val="0"/>
      <w:marBottom w:val="0"/>
      <w:divBdr>
        <w:top w:val="none" w:sz="0" w:space="0" w:color="auto"/>
        <w:left w:val="none" w:sz="0" w:space="0" w:color="auto"/>
        <w:bottom w:val="none" w:sz="0" w:space="0" w:color="auto"/>
        <w:right w:val="none" w:sz="0" w:space="0" w:color="auto"/>
      </w:divBdr>
    </w:div>
    <w:div w:id="928851029">
      <w:bodyDiv w:val="1"/>
      <w:marLeft w:val="0"/>
      <w:marRight w:val="0"/>
      <w:marTop w:val="0"/>
      <w:marBottom w:val="0"/>
      <w:divBdr>
        <w:top w:val="none" w:sz="0" w:space="0" w:color="auto"/>
        <w:left w:val="none" w:sz="0" w:space="0" w:color="auto"/>
        <w:bottom w:val="none" w:sz="0" w:space="0" w:color="auto"/>
        <w:right w:val="none" w:sz="0" w:space="0" w:color="auto"/>
      </w:divBdr>
    </w:div>
    <w:div w:id="116766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27723755220005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atech.2022.10009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holar.google.com/scholar_lookup?title=arXiv+preprint+arXiv:03216&amp;author=A.+S.+van+der+Loeff&amp;author=I.+Bassi&amp;author=S.+Kapila&amp;author=J.+Gamper&amp;publication_year=2019&am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330B1-1BF3-4B95-BA39-AE1D10A5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2345</Words>
  <Characters>13372</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15686</CharactersWithSpaces>
  <SharedDoc>false</SharedDoc>
  <HLinks>
    <vt:vector size="24" baseType="variant">
      <vt:variant>
        <vt:i4>6946943</vt:i4>
      </vt:variant>
      <vt:variant>
        <vt:i4>9</vt:i4>
      </vt:variant>
      <vt:variant>
        <vt:i4>0</vt:i4>
      </vt:variant>
      <vt:variant>
        <vt:i4>5</vt:i4>
      </vt:variant>
      <vt:variant>
        <vt:lpwstr>https://www.sciencedirect.com/science/article/pii/S2772375522000594</vt:lpwstr>
      </vt:variant>
      <vt:variant>
        <vt:lpwstr/>
      </vt:variant>
      <vt:variant>
        <vt:i4>4128884</vt:i4>
      </vt:variant>
      <vt:variant>
        <vt:i4>6</vt:i4>
      </vt:variant>
      <vt:variant>
        <vt:i4>0</vt:i4>
      </vt:variant>
      <vt:variant>
        <vt:i4>5</vt:i4>
      </vt:variant>
      <vt:variant>
        <vt:lpwstr>https://doi.org/10.1016/j.atech.2022.100094</vt:lpwstr>
      </vt:variant>
      <vt:variant>
        <vt:lpwstr/>
      </vt:variant>
      <vt:variant>
        <vt:i4>6357099</vt:i4>
      </vt:variant>
      <vt:variant>
        <vt:i4>3</vt:i4>
      </vt:variant>
      <vt:variant>
        <vt:i4>0</vt:i4>
      </vt:variant>
      <vt:variant>
        <vt:i4>5</vt:i4>
      </vt:variant>
      <vt:variant>
        <vt:lpwstr>https://www.csoonline.com/article/575253/evil-digital-twins-and-other-risks-the-use-of-twins-opens-up-a-host-of-new-security-concerns.html</vt:lpwstr>
      </vt:variant>
      <vt:variant>
        <vt:lpwstr/>
      </vt:variant>
      <vt:variant>
        <vt:i4>4194331</vt:i4>
      </vt:variant>
      <vt:variant>
        <vt:i4>0</vt:i4>
      </vt:variant>
      <vt:variant>
        <vt:i4>0</vt:i4>
      </vt:variant>
      <vt:variant>
        <vt:i4>5</vt:i4>
      </vt:variant>
      <vt:variant>
        <vt:lpwstr>https://scholar.google.com/scholar_lookup?title=arXiv+preprint+arXiv:03216&amp;author=A.+S.+van+der+Loeff&amp;author=I.+Bassi&amp;author=S.+Kapila&amp;author=J.+Gamper&amp;publication_year=2019&amp;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Proença</dc:creator>
  <cp:keywords/>
  <dc:description/>
  <cp:lastModifiedBy>João André Roque Costa</cp:lastModifiedBy>
  <cp:revision>39</cp:revision>
  <cp:lastPrinted>2024-06-04T14:46:00Z</cp:lastPrinted>
  <dcterms:created xsi:type="dcterms:W3CDTF">2024-05-30T16:45:00Z</dcterms:created>
  <dcterms:modified xsi:type="dcterms:W3CDTF">2024-06-04T14:47:00Z</dcterms:modified>
</cp:coreProperties>
</file>