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4"/>
        </w:rPr>
        <w:t>TRIGGERBOT</w:t>
      </w:r>
    </w:p>
    <w:p>
      <w:pPr>
        <w:jc w:val="center"/>
      </w:pPr>
      <w:r>
        <w:rPr>
          <w:b/>
          <w:color w:val="374151"/>
          <w:sz w:val="36"/>
        </w:rPr>
        <w:t>Documentación funcional y técnica</w:t>
      </w:r>
    </w:p>
    <w:p>
      <w:pPr>
        <w:jc w:val="center"/>
      </w:pPr>
      <w:r>
        <w:rPr>
          <w:color w:val="6B7280"/>
          <w:sz w:val="26"/>
        </w:rPr>
        <w:t>Detector automático de color para Windows</w:t>
      </w:r>
    </w:p>
    <w:p/>
    <w:tbl>
      <w:tblPr>
        <w:tblStyle w:val="TableGrid"/>
        <w:tblW w:type="auto" w:w="0"/>
        <w:jc w:val="center"/>
        <w:tblLook w:firstColumn="1" w:firstRow="1" w:lastColumn="0" w:lastRow="0" w:noHBand="0" w:noVBand="1" w:val="04A0"/>
      </w:tblPr>
      <w:tblGrid>
        <w:gridCol w:w="9936"/>
      </w:tblGrid>
      <w:tr>
        <w:tc>
          <w:tcPr>
            <w:tcW w:type="dxa" w:w="9936"/>
            <w:shd w:fill="EEF2FF"/>
            <w:vAlign w:val="center"/>
          </w:tcPr>
          <w:p>
            <w:r/>
            <w:r>
              <w:rPr>
                <w:b w:val="0"/>
              </w:rPr>
              <w:t>Resumen: TriggerBot observa un píxel de la pantalla, compara su color con un color objetivo y, cuando existe coincidencia dentro de una tolerancia configurada, ejecuta un clic izquierdo. La detección se activa con F5 y el disparo se habilita mientras se mantiene presionada la tecla E.</w:t>
            </w:r>
          </w:p>
        </w:tc>
      </w:tr>
    </w:tbl>
    <w:p/>
    <w:p>
      <w:pPr>
        <w:jc w:val="center"/>
      </w:pPr>
      <w:r>
        <w:rPr>
          <w:i/>
        </w:rPr>
        <w:t>Versión documentada según el código del proyecto · 2026-10-13</w:t>
      </w:r>
    </w:p>
    <w:p>
      <w:r>
        <w:br w:type="page"/>
      </w:r>
    </w:p>
    <w:p>
      <w:pPr>
        <w:pStyle w:val="Heading1"/>
      </w:pPr>
      <w:r>
        <w:t>1. ¿Qué es TriggerBot?</w:t>
      </w:r>
    </w:p>
    <w:p>
      <w:r>
        <w:t>TriggerBot es una aplicación de escritorio para Windows desarrollada en Python. Su función principal es detectar un color específico en un punto de la pantalla y automatizar un clic izquierdo cuando ese color aparece. La interfaz permite seleccionar el color, definir cómo debe compararse, fijar una posición de análisis y ajustar los tiempos de respuesta.</w:t>
      </w:r>
    </w:p>
    <w:p>
      <w:r>
        <w:t>El programa está pensado para escenarios donde una señal visual de color representa un evento que debe activar una acción. Como automatiza entradas del mouse y del teclado, su uso debe respetar las reglas del software o juego donde se utilice.</w:t>
      </w:r>
    </w:p>
    <w:p>
      <w:pPr>
        <w:pStyle w:val="Heading1"/>
      </w:pPr>
      <w:r>
        <w:t>2. Funcionamiento general</w:t>
      </w:r>
    </w:p>
    <w:p>
      <w:pPr>
        <w:pStyle w:val="ListNumber"/>
      </w:pPr>
      <w:r>
        <w:t>El usuario inicia la aplicación y valida una licencia asociada al equipo.</w:t>
      </w:r>
    </w:p>
    <w:p>
      <w:pPr>
        <w:pStyle w:val="ListNumber"/>
      </w:pPr>
      <w:r>
        <w:t>Se selecciona un color objetivo colocando el cursor sobre el píxel deseado y presionando F6.</w:t>
      </w:r>
    </w:p>
    <w:p>
      <w:pPr>
        <w:pStyle w:val="ListNumber"/>
      </w:pPr>
      <w:r>
        <w:t>Opcionalmente se fija una coordenada concreta con F7 para que la detección no siga al cursor.</w:t>
      </w:r>
    </w:p>
    <w:p>
      <w:pPr>
        <w:pStyle w:val="ListNumber"/>
      </w:pPr>
      <w:r>
        <w:t>Se configura la tolerancia y los tiempos mediante los controles de la interfaz.</w:t>
      </w:r>
    </w:p>
    <w:p>
      <w:pPr>
        <w:pStyle w:val="ListNumber"/>
      </w:pPr>
      <w:r>
        <w:t>Se activa el TriggerBot con F5.</w:t>
      </w:r>
    </w:p>
    <w:p>
      <w:pPr>
        <w:pStyle w:val="ListNumber"/>
      </w:pPr>
      <w:r>
        <w:t>Mientras se mantiene presionada E, el programa captura continuamente un píxel de la posición de análisis.</w:t>
      </w:r>
    </w:p>
    <w:p>
      <w:pPr>
        <w:pStyle w:val="ListNumber"/>
      </w:pPr>
      <w:r>
        <w:t>Si el color leído coincide con el color objetivo, el programa realiza un clic izquierdo.</w:t>
      </w:r>
    </w:p>
    <w:p>
      <w:pPr>
        <w:pStyle w:val="ListNumber"/>
      </w:pPr>
      <w:r>
        <w:t>Después del clic espera a que el color desaparezca y aplica el cooldown configurado antes de permitir otra detección.</w:t>
      </w:r>
    </w:p>
    <w:p>
      <w:pPr>
        <w:pStyle w:val="Heading1"/>
      </w:pPr>
      <w:r>
        <w:t>3. Flujo de detección</w:t>
      </w:r>
    </w:p>
    <w:p>
      <w:r>
        <w:t>El ciclo de detección se ejecuta en un hilo independiente para que la interfaz siga respondiendo. En Windows utiliza funciones GDI (BitBlt y GetDIBits) para copiar y leer un área de 1 × 1 píxel, evitando capturar toda la pantalla en cada iteración.</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4F46E5"/>
          </w:tcPr>
          <w:p>
            <w:r/>
            <w:r>
              <w:rPr>
                <w:b/>
                <w:color w:val="FFFFFF"/>
              </w:rPr>
              <w:t>Etapa</w:t>
            </w:r>
          </w:p>
        </w:tc>
        <w:tc>
          <w:tcPr>
            <w:tcW w:type="dxa" w:w="8208"/>
            <w:vAlign w:val="center"/>
            <w:shd w:fill="4F46E5"/>
          </w:tcPr>
          <w:p>
            <w:r/>
            <w:r>
              <w:rPr>
                <w:b/>
                <w:color w:val="FFFFFF"/>
              </w:rPr>
              <w:t>Qué hace el software</w:t>
            </w:r>
          </w:p>
        </w:tc>
      </w:tr>
      <w:tr>
        <w:tc>
          <w:tcPr>
            <w:tcW w:type="dxa" w:w="1872"/>
            <w:vAlign w:val="center"/>
            <w:shd w:fill="EEF2FF"/>
          </w:tcPr>
          <w:p>
            <w:r/>
            <w:r>
              <w:rPr>
                <w:b w:val="0"/>
              </w:rPr>
              <w:t>1. Estado</w:t>
            </w:r>
          </w:p>
        </w:tc>
        <w:tc>
          <w:tcPr>
            <w:tcW w:type="dxa" w:w="8208"/>
            <w:vAlign w:val="center"/>
            <w:shd w:fill="EEF2FF"/>
          </w:tcPr>
          <w:p>
            <w:r/>
            <w:r>
              <w:rPr>
                <w:b w:val="0"/>
              </w:rPr>
              <w:t>Comprueba que el TriggerBot esté activo y que E esté presionada.</w:t>
            </w:r>
          </w:p>
        </w:tc>
      </w:tr>
      <w:tr>
        <w:tc>
          <w:tcPr>
            <w:tcW w:type="dxa" w:w="1872"/>
            <w:vAlign w:val="center"/>
          </w:tcPr>
          <w:p>
            <w:r/>
            <w:r>
              <w:rPr>
                <w:b w:val="0"/>
              </w:rPr>
              <w:t>2. Coordenada</w:t>
            </w:r>
          </w:p>
        </w:tc>
        <w:tc>
          <w:tcPr>
            <w:tcW w:type="dxa" w:w="8208"/>
            <w:vAlign w:val="center"/>
          </w:tcPr>
          <w:p>
            <w:r/>
            <w:r>
              <w:rPr>
                <w:b w:val="0"/>
              </w:rPr>
              <w:t>Usa el cursor actual o la posición fija, si el bloqueo está habilitado.</w:t>
            </w:r>
          </w:p>
        </w:tc>
      </w:tr>
      <w:tr>
        <w:tc>
          <w:tcPr>
            <w:tcW w:type="dxa" w:w="1872"/>
            <w:vAlign w:val="center"/>
            <w:shd w:fill="EEF2FF"/>
          </w:tcPr>
          <w:p>
            <w:r/>
            <w:r>
              <w:rPr>
                <w:b w:val="0"/>
              </w:rPr>
              <w:t>3. Captura</w:t>
            </w:r>
          </w:p>
        </w:tc>
        <w:tc>
          <w:tcPr>
            <w:tcW w:type="dxa" w:w="8208"/>
            <w:vAlign w:val="center"/>
            <w:shd w:fill="EEF2FF"/>
          </w:tcPr>
          <w:p>
            <w:r/>
            <w:r>
              <w:rPr>
                <w:b w:val="0"/>
              </w:rPr>
              <w:t>Lee un único píxel de la pantalla mediante GDI.</w:t>
            </w:r>
          </w:p>
        </w:tc>
      </w:tr>
      <w:tr>
        <w:tc>
          <w:tcPr>
            <w:tcW w:type="dxa" w:w="1872"/>
            <w:vAlign w:val="center"/>
          </w:tcPr>
          <w:p>
            <w:r/>
            <w:r>
              <w:rPr>
                <w:b w:val="0"/>
              </w:rPr>
              <w:t>4. Comparación</w:t>
            </w:r>
          </w:p>
        </w:tc>
        <w:tc>
          <w:tcPr>
            <w:tcW w:type="dxa" w:w="8208"/>
            <w:vAlign w:val="center"/>
          </w:tcPr>
          <w:p>
            <w:r/>
            <w:r>
              <w:rPr>
                <w:b w:val="0"/>
              </w:rPr>
              <w:t>Compara R, G y B contra el color objetivo usando la tolerancia por canal.</w:t>
            </w:r>
          </w:p>
        </w:tc>
      </w:tr>
      <w:tr>
        <w:tc>
          <w:tcPr>
            <w:tcW w:type="dxa" w:w="1872"/>
            <w:vAlign w:val="center"/>
            <w:shd w:fill="EEF2FF"/>
          </w:tcPr>
          <w:p>
            <w:r/>
            <w:r>
              <w:rPr>
                <w:b w:val="0"/>
              </w:rPr>
              <w:t>5. Acción</w:t>
            </w:r>
          </w:p>
        </w:tc>
        <w:tc>
          <w:tcPr>
            <w:tcW w:type="dxa" w:w="8208"/>
            <w:vAlign w:val="center"/>
            <w:shd w:fill="EEF2FF"/>
          </w:tcPr>
          <w:p>
            <w:r/>
            <w:r>
              <w:rPr>
                <w:b w:val="0"/>
              </w:rPr>
              <w:t>Si coincide, ejecuta mouse-down, espera 20 ms y ejecuta mouse-up.</w:t>
            </w:r>
          </w:p>
        </w:tc>
      </w:tr>
      <w:tr>
        <w:tc>
          <w:tcPr>
            <w:tcW w:type="dxa" w:w="1872"/>
            <w:vAlign w:val="center"/>
          </w:tcPr>
          <w:p>
            <w:r/>
            <w:r>
              <w:rPr>
                <w:b w:val="0"/>
              </w:rPr>
              <w:t>6. Antirrebote</w:t>
            </w:r>
          </w:p>
        </w:tc>
        <w:tc>
          <w:tcPr>
            <w:tcW w:type="dxa" w:w="8208"/>
            <w:vAlign w:val="center"/>
          </w:tcPr>
          <w:p>
            <w:r/>
            <w:r>
              <w:rPr>
                <w:b w:val="0"/>
              </w:rPr>
              <w:t>Espera hasta que el color deje de estar presente durante aproximadamente 450 ms.</w:t>
            </w:r>
          </w:p>
        </w:tc>
      </w:tr>
      <w:tr>
        <w:tc>
          <w:tcPr>
            <w:tcW w:type="dxa" w:w="1872"/>
            <w:vAlign w:val="center"/>
            <w:shd w:fill="EEF2FF"/>
          </w:tcPr>
          <w:p>
            <w:r/>
            <w:r>
              <w:rPr>
                <w:b w:val="0"/>
              </w:rPr>
              <w:t>7. Cooldown</w:t>
            </w:r>
          </w:p>
        </w:tc>
        <w:tc>
          <w:tcPr>
            <w:tcW w:type="dxa" w:w="8208"/>
            <w:vAlign w:val="center"/>
            <w:shd w:fill="EEF2FF"/>
          </w:tcPr>
          <w:p>
            <w:r/>
            <w:r>
              <w:rPr>
                <w:b w:val="0"/>
              </w:rPr>
              <w:t>Espera el tiempo configurado antes de volver a aceptar una detección.</w:t>
            </w:r>
          </w:p>
        </w:tc>
      </w:tr>
    </w:tbl>
    <w:p/>
    <w:p>
      <w:pPr>
        <w:pStyle w:val="Heading1"/>
      </w:pPr>
      <w:r>
        <w:t>4. Selección del color objetivo</w:t>
      </w:r>
    </w:p>
    <w:p>
      <w:r>
        <w:t>La selección se realiza directamente sobre la pantalla. Al pulsar el botón de selección, la aplicación queda esperando F6. La posición actual del cursor se captura y se lee el color RGB del píxel situado allí. El color queda visible en la interfaz y se guarda en config.json.</w:t>
      </w:r>
    </w:p>
    <w:p>
      <w:pPr>
        <w:pStyle w:val="ListBullet"/>
      </w:pPr>
      <w:r>
        <w:t>F6 confirma la selección del color.</w:t>
      </w:r>
    </w:p>
    <w:p>
      <w:pPr>
        <w:pStyle w:val="ListBullet"/>
      </w:pPr>
      <w:r>
        <w:t>La aplicación muestra los componentes RGB y la posición capturada.</w:t>
      </w:r>
    </w:p>
    <w:p>
      <w:pPr>
        <w:pStyle w:val="ListBullet"/>
      </w:pPr>
      <w:r>
        <w:t>La selección se guarda para futuros inicios.</w:t>
      </w:r>
    </w:p>
    <w:p>
      <w:pPr>
        <w:pStyle w:val="ListBullet"/>
      </w:pPr>
      <w:r>
        <w:t>Si no existe color objetivo, el botón de inicio no activa la detección y muestra un error.</w:t>
      </w:r>
    </w:p>
    <w:p>
      <w:pPr>
        <w:pStyle w:val="Heading1"/>
      </w:pPr>
      <w:r>
        <w:t>5. Posición de detección</w:t>
      </w:r>
    </w:p>
    <w:p>
      <w:r>
        <w:t>El programa puede analizar la posición actual del cursor o una coordenada fija. Esta segunda opción es útil cuando el elemento de interés permanece en un punto estable.</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4F46E5"/>
          </w:tcPr>
          <w:p>
            <w:r/>
            <w:r>
              <w:rPr>
                <w:b/>
                <w:color w:val="FFFFFF"/>
              </w:rPr>
              <w:t>Control</w:t>
            </w:r>
          </w:p>
        </w:tc>
        <w:tc>
          <w:tcPr>
            <w:tcW w:type="dxa" w:w="7488"/>
            <w:vAlign w:val="center"/>
            <w:shd w:fill="4F46E5"/>
          </w:tcPr>
          <w:p>
            <w:r/>
            <w:r>
              <w:rPr>
                <w:b/>
                <w:color w:val="FFFFFF"/>
              </w:rPr>
              <w:t>Función</w:t>
            </w:r>
          </w:p>
        </w:tc>
      </w:tr>
      <w:tr>
        <w:tc>
          <w:tcPr>
            <w:tcW w:type="dxa" w:w="2592"/>
            <w:vAlign w:val="center"/>
            <w:shd w:fill="EEF2FF"/>
          </w:tcPr>
          <w:p>
            <w:r/>
            <w:r>
              <w:rPr>
                <w:b w:val="0"/>
              </w:rPr>
              <w:t>F7 / Fix Position</w:t>
            </w:r>
          </w:p>
        </w:tc>
        <w:tc>
          <w:tcPr>
            <w:tcW w:type="dxa" w:w="7488"/>
            <w:vAlign w:val="center"/>
            <w:shd w:fill="EEF2FF"/>
          </w:tcPr>
          <w:p>
            <w:r/>
            <w:r>
              <w:rPr>
                <w:b w:val="0"/>
              </w:rPr>
              <w:t>Guarda las coordenadas actuales del cursor.</w:t>
            </w:r>
          </w:p>
        </w:tc>
      </w:tr>
      <w:tr>
        <w:tc>
          <w:tcPr>
            <w:tcW w:type="dxa" w:w="2592"/>
            <w:vAlign w:val="center"/>
          </w:tcPr>
          <w:p>
            <w:r/>
            <w:r>
              <w:rPr>
                <w:b w:val="0"/>
              </w:rPr>
              <w:t>Fixed Position</w:t>
            </w:r>
          </w:p>
        </w:tc>
        <w:tc>
          <w:tcPr>
            <w:tcW w:type="dxa" w:w="7488"/>
            <w:vAlign w:val="center"/>
          </w:tcPr>
          <w:p>
            <w:r/>
            <w:r>
              <w:rPr>
                <w:b w:val="0"/>
              </w:rPr>
              <w:t>Muestra la coordenada guardada.</w:t>
            </w:r>
          </w:p>
        </w:tc>
      </w:tr>
      <w:tr>
        <w:tc>
          <w:tcPr>
            <w:tcW w:type="dxa" w:w="2592"/>
            <w:vAlign w:val="center"/>
            <w:shd w:fill="EEF2FF"/>
          </w:tcPr>
          <w:p>
            <w:r/>
            <w:r>
              <w:rPr>
                <w:b w:val="0"/>
              </w:rPr>
              <w:t>Clear Position</w:t>
            </w:r>
          </w:p>
        </w:tc>
        <w:tc>
          <w:tcPr>
            <w:tcW w:type="dxa" w:w="7488"/>
            <w:vAlign w:val="center"/>
            <w:shd w:fill="EEF2FF"/>
          </w:tcPr>
          <w:p>
            <w:r/>
            <w:r>
              <w:rPr>
                <w:b w:val="0"/>
              </w:rPr>
              <w:t>Elimina la coordenada y desactiva el bloqueo.</w:t>
            </w:r>
          </w:p>
        </w:tc>
      </w:tr>
      <w:tr>
        <w:tc>
          <w:tcPr>
            <w:tcW w:type="dxa" w:w="2592"/>
            <w:vAlign w:val="center"/>
          </w:tcPr>
          <w:p>
            <w:r/>
            <w:r>
              <w:rPr>
                <w:b w:val="0"/>
              </w:rPr>
              <w:t>Position lock</w:t>
            </w:r>
          </w:p>
        </w:tc>
        <w:tc>
          <w:tcPr>
            <w:tcW w:type="dxa" w:w="7488"/>
            <w:vAlign w:val="center"/>
          </w:tcPr>
          <w:p>
            <w:r/>
            <w:r>
              <w:rPr>
                <w:b w:val="0"/>
              </w:rPr>
              <w:t>Cuando está activo, el análisis usa siempre la coordenada guardada.</w:t>
            </w:r>
          </w:p>
        </w:tc>
      </w:tr>
    </w:tbl>
    <w:p/>
    <w:p>
      <w:r>
        <w:t>Si se intenta activar el bloqueo sin una posición guardada, el software lo rechaza y mantiene el bloqueo desactivado.</w:t>
      </w:r>
    </w:p>
    <w:p>
      <w:pPr>
        <w:pStyle w:val="Heading1"/>
      </w:pPr>
      <w:r>
        <w:t>6. Parámetros configurables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4F46E5"/>
          </w:tcPr>
          <w:p>
            <w:r/>
            <w:r>
              <w:rPr>
                <w:b/>
                <w:color w:val="FFFFFF"/>
              </w:rPr>
              <w:t>Parámetro</w:t>
            </w:r>
          </w:p>
        </w:tc>
        <w:tc>
          <w:tcPr>
            <w:tcW w:type="dxa" w:w="2592"/>
            <w:vAlign w:val="center"/>
            <w:shd w:fill="4F46E5"/>
          </w:tcPr>
          <w:p>
            <w:r/>
            <w:r>
              <w:rPr>
                <w:b/>
                <w:color w:val="FFFFFF"/>
              </w:rPr>
              <w:t>Rango o valor inicial</w:t>
            </w:r>
          </w:p>
        </w:tc>
        <w:tc>
          <w:tcPr>
            <w:tcW w:type="dxa" w:w="5616"/>
            <w:vAlign w:val="center"/>
            <w:shd w:fill="4F46E5"/>
          </w:tcPr>
          <w:p>
            <w:r/>
            <w:r>
              <w:rPr>
                <w:b/>
                <w:color w:val="FFFFFF"/>
              </w:rPr>
              <w:t>Efecto</w:t>
            </w:r>
          </w:p>
        </w:tc>
      </w:tr>
      <w:tr>
        <w:tc>
          <w:tcPr>
            <w:tcW w:type="dxa" w:w="1872"/>
            <w:vAlign w:val="center"/>
            <w:shd w:fill="EEF2FF"/>
          </w:tcPr>
          <w:p>
            <w:r/>
            <w:r>
              <w:rPr>
                <w:b w:val="0"/>
              </w:rPr>
              <w:t>Tolerance</w:t>
            </w:r>
          </w:p>
        </w:tc>
        <w:tc>
          <w:tcPr>
            <w:tcW w:type="dxa" w:w="2592"/>
            <w:vAlign w:val="center"/>
            <w:shd w:fill="EEF2FF"/>
          </w:tcPr>
          <w:p>
            <w:r/>
            <w:r>
              <w:rPr>
                <w:b w:val="0"/>
              </w:rPr>
              <w:t>0–100; inicial 10/30 según configuración</w:t>
            </w:r>
          </w:p>
        </w:tc>
        <w:tc>
          <w:tcPr>
            <w:tcW w:type="dxa" w:w="5616"/>
            <w:vAlign w:val="center"/>
            <w:shd w:fill="EEF2FF"/>
          </w:tcPr>
          <w:p>
            <w:r/>
            <w:r>
              <w:rPr>
                <w:b w:val="0"/>
              </w:rPr>
              <w:t>Máxima diferencia permitida en cada canal RGB. Un valor mayor acepta más variaciones de color, pero puede generar coincidencias menos precisas.</w:t>
            </w:r>
          </w:p>
        </w:tc>
      </w:tr>
      <w:tr>
        <w:tc>
          <w:tcPr>
            <w:tcW w:type="dxa" w:w="1872"/>
            <w:vAlign w:val="center"/>
          </w:tcPr>
          <w:p>
            <w:r/>
            <w:r>
              <w:rPr>
                <w:b w:val="0"/>
              </w:rPr>
              <w:t>Click interval</w:t>
            </w:r>
          </w:p>
        </w:tc>
        <w:tc>
          <w:tcPr>
            <w:tcW w:type="dxa" w:w="2592"/>
            <w:vAlign w:val="center"/>
          </w:tcPr>
          <w:p>
            <w:r/>
            <w:r>
              <w:rPr>
                <w:b w:val="0"/>
              </w:rPr>
              <w:t>0.01–1.00 s; inicial 0.10 s</w:t>
            </w:r>
          </w:p>
        </w:tc>
        <w:tc>
          <w:tcPr>
            <w:tcW w:type="dxa" w:w="5616"/>
            <w:vAlign w:val="center"/>
          </w:tcPr>
          <w:p>
            <w:r/>
            <w:r>
              <w:rPr>
                <w:b w:val="0"/>
              </w:rPr>
              <w:t>Se muestra y se guarda como parámetro de intervalo. En el bucle principal actual, la repetición efectiva está controlada principalmente por la espera de desaparición y el cooldown.</w:t>
            </w:r>
          </w:p>
        </w:tc>
      </w:tr>
      <w:tr>
        <w:tc>
          <w:tcPr>
            <w:tcW w:type="dxa" w:w="1872"/>
            <w:vAlign w:val="center"/>
            <w:shd w:fill="EEF2FF"/>
          </w:tcPr>
          <w:p>
            <w:r/>
            <w:r>
              <w:rPr>
                <w:b w:val="0"/>
              </w:rPr>
              <w:t>Click delay</w:t>
            </w:r>
          </w:p>
        </w:tc>
        <w:tc>
          <w:tcPr>
            <w:tcW w:type="dxa" w:w="2592"/>
            <w:vAlign w:val="center"/>
            <w:shd w:fill="EEF2FF"/>
          </w:tcPr>
          <w:p>
            <w:r/>
            <w:r>
              <w:rPr>
                <w:b w:val="0"/>
              </w:rPr>
              <w:t>0.00–0.50 s; inicial 0.00/0.01 s</w:t>
            </w:r>
          </w:p>
        </w:tc>
        <w:tc>
          <w:tcPr>
            <w:tcW w:type="dxa" w:w="5616"/>
            <w:vAlign w:val="center"/>
            <w:shd w:fill="EEF2FF"/>
          </w:tcPr>
          <w:p>
            <w:r/>
            <w:r>
              <w:rPr>
                <w:b w:val="0"/>
              </w:rPr>
              <w:t>Tiempo opcional entre la detección y el clic.</w:t>
            </w:r>
          </w:p>
        </w:tc>
      </w:tr>
      <w:tr>
        <w:tc>
          <w:tcPr>
            <w:tcW w:type="dxa" w:w="1872"/>
            <w:vAlign w:val="center"/>
          </w:tcPr>
          <w:p>
            <w:r/>
            <w:r>
              <w:rPr>
                <w:b w:val="0"/>
              </w:rPr>
              <w:t>Cooldown</w:t>
            </w:r>
          </w:p>
        </w:tc>
        <w:tc>
          <w:tcPr>
            <w:tcW w:type="dxa" w:w="2592"/>
            <w:vAlign w:val="center"/>
          </w:tcPr>
          <w:p>
            <w:r/>
            <w:r>
              <w:rPr>
                <w:b w:val="0"/>
              </w:rPr>
              <w:t>0.01–0.50 s; inicial 0.10 s</w:t>
            </w:r>
          </w:p>
        </w:tc>
        <w:tc>
          <w:tcPr>
            <w:tcW w:type="dxa" w:w="5616"/>
            <w:vAlign w:val="center"/>
          </w:tcPr>
          <w:p>
            <w:r/>
            <w:r>
              <w:rPr>
                <w:b w:val="0"/>
              </w:rPr>
              <w:t>Tiempo de espera posterior al ciclo de detección antes de aceptar otra coincidencia.</w:t>
            </w:r>
          </w:p>
        </w:tc>
      </w:tr>
      <w:tr>
        <w:tc>
          <w:tcPr>
            <w:tcW w:type="dxa" w:w="1872"/>
            <w:vAlign w:val="center"/>
            <w:shd w:fill="EEF2FF"/>
          </w:tcPr>
          <w:p>
            <w:r/>
            <w:r>
              <w:rPr>
                <w:b w:val="0"/>
              </w:rPr>
              <w:t>Theme</w:t>
            </w:r>
          </w:p>
        </w:tc>
        <w:tc>
          <w:tcPr>
            <w:tcW w:type="dxa" w:w="2592"/>
            <w:vAlign w:val="center"/>
            <w:shd w:fill="EEF2FF"/>
          </w:tcPr>
          <w:p>
            <w:r/>
            <w:r>
              <w:rPr>
                <w:b w:val="0"/>
              </w:rPr>
              <w:t>Dark, Light, System</w:t>
            </w:r>
          </w:p>
        </w:tc>
        <w:tc>
          <w:tcPr>
            <w:tcW w:type="dxa" w:w="5616"/>
            <w:vAlign w:val="center"/>
            <w:shd w:fill="EEF2FF"/>
          </w:tcPr>
          <w:p>
            <w:r/>
            <w:r>
              <w:rPr>
                <w:b w:val="0"/>
              </w:rPr>
              <w:t>Cambia el modo visual de la interfaz.</w:t>
            </w:r>
          </w:p>
        </w:tc>
      </w:tr>
      <w:tr>
        <w:tc>
          <w:tcPr>
            <w:tcW w:type="dxa" w:w="1872"/>
            <w:vAlign w:val="center"/>
          </w:tcPr>
          <w:p>
            <w:r/>
            <w:r>
              <w:rPr>
                <w:b w:val="0"/>
              </w:rPr>
              <w:t>Opacity</w:t>
            </w:r>
          </w:p>
        </w:tc>
        <w:tc>
          <w:tcPr>
            <w:tcW w:type="dxa" w:w="2592"/>
            <w:vAlign w:val="center"/>
          </w:tcPr>
          <w:p>
            <w:r/>
            <w:r>
              <w:rPr>
                <w:b w:val="0"/>
              </w:rPr>
              <w:t>40–100 %</w:t>
            </w:r>
          </w:p>
        </w:tc>
        <w:tc>
          <w:tcPr>
            <w:tcW w:type="dxa" w:w="5616"/>
            <w:vAlign w:val="center"/>
          </w:tcPr>
          <w:p>
            <w:r/>
            <w:r>
              <w:rPr>
                <w:b w:val="0"/>
              </w:rPr>
              <w:t>Modifica la transparencia de la ventana principal.</w:t>
            </w:r>
          </w:p>
        </w:tc>
      </w:tr>
      <w:tr>
        <w:tc>
          <w:tcPr>
            <w:tcW w:type="dxa" w:w="1872"/>
            <w:vAlign w:val="center"/>
            <w:shd w:fill="EEF2FF"/>
          </w:tcPr>
          <w:p>
            <w:r/>
            <w:r>
              <w:rPr>
                <w:b w:val="0"/>
              </w:rPr>
              <w:t>Language</w:t>
            </w:r>
          </w:p>
        </w:tc>
        <w:tc>
          <w:tcPr>
            <w:tcW w:type="dxa" w:w="2592"/>
            <w:vAlign w:val="center"/>
            <w:shd w:fill="EEF2FF"/>
          </w:tcPr>
          <w:p>
            <w:r/>
            <w:r>
              <w:rPr>
                <w:b w:val="0"/>
              </w:rPr>
              <w:t>English / Español</w:t>
            </w:r>
          </w:p>
        </w:tc>
        <w:tc>
          <w:tcPr>
            <w:tcW w:type="dxa" w:w="5616"/>
            <w:vAlign w:val="center"/>
            <w:shd w:fill="EEF2FF"/>
          </w:tcPr>
          <w:p>
            <w:r/>
            <w:r>
              <w:rPr>
                <w:b w:val="0"/>
              </w:rPr>
              <w:t>Actualiza los textos disponibles de la interfaz.</w:t>
            </w:r>
          </w:p>
        </w:tc>
      </w:tr>
    </w:tbl>
    <w:p/>
    <w:p>
      <w:pPr>
        <w:pStyle w:val="Heading1"/>
      </w:pPr>
      <w:r>
        <w:t>7. Controles y operación</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4F46E5"/>
          </w:tcPr>
          <w:p>
            <w:r/>
            <w:r>
              <w:rPr>
                <w:b/>
                <w:color w:val="FFFFFF"/>
              </w:rPr>
              <w:t>Control</w:t>
            </w:r>
          </w:p>
        </w:tc>
        <w:tc>
          <w:tcPr>
            <w:tcW w:type="dxa" w:w="6912"/>
            <w:vAlign w:val="center"/>
            <w:shd w:fill="4F46E5"/>
          </w:tcPr>
          <w:p>
            <w:r/>
            <w:r>
              <w:rPr>
                <w:b/>
                <w:color w:val="FFFFFF"/>
              </w:rPr>
              <w:t>Acción</w:t>
            </w:r>
          </w:p>
        </w:tc>
      </w:tr>
      <w:tr>
        <w:tc>
          <w:tcPr>
            <w:tcW w:type="dxa" w:w="3168"/>
            <w:vAlign w:val="center"/>
            <w:shd w:fill="EEF2FF"/>
          </w:tcPr>
          <w:p>
            <w:r/>
            <w:r>
              <w:rPr>
                <w:b w:val="0"/>
              </w:rPr>
              <w:t>F5 / START TRIGGERBOT</w:t>
            </w:r>
          </w:p>
        </w:tc>
        <w:tc>
          <w:tcPr>
            <w:tcW w:type="dxa" w:w="6912"/>
            <w:vAlign w:val="center"/>
            <w:shd w:fill="EEF2FF"/>
          </w:tcPr>
          <w:p>
            <w:r/>
            <w:r>
              <w:rPr>
                <w:b w:val="0"/>
              </w:rPr>
              <w:t>Activa o detiene el hilo de detección.</w:t>
            </w:r>
          </w:p>
        </w:tc>
      </w:tr>
      <w:tr>
        <w:tc>
          <w:tcPr>
            <w:tcW w:type="dxa" w:w="3168"/>
            <w:vAlign w:val="center"/>
          </w:tcPr>
          <w:p>
            <w:r/>
            <w:r>
              <w:rPr>
                <w:b w:val="0"/>
              </w:rPr>
              <w:t>E</w:t>
            </w:r>
          </w:p>
        </w:tc>
        <w:tc>
          <w:tcPr>
            <w:tcW w:type="dxa" w:w="6912"/>
            <w:vAlign w:val="center"/>
          </w:tcPr>
          <w:p>
            <w:r/>
            <w:r>
              <w:rPr>
                <w:b w:val="0"/>
              </w:rPr>
              <w:t>Debe mantenerse presionada para que el detector lea la pantalla y pueda disparar.</w:t>
            </w:r>
          </w:p>
        </w:tc>
      </w:tr>
      <w:tr>
        <w:tc>
          <w:tcPr>
            <w:tcW w:type="dxa" w:w="3168"/>
            <w:vAlign w:val="center"/>
            <w:shd w:fill="EEF2FF"/>
          </w:tcPr>
          <w:p>
            <w:r/>
            <w:r>
              <w:rPr>
                <w:b w:val="0"/>
              </w:rPr>
              <w:t>F6</w:t>
            </w:r>
          </w:p>
        </w:tc>
        <w:tc>
          <w:tcPr>
            <w:tcW w:type="dxa" w:w="6912"/>
            <w:vAlign w:val="center"/>
            <w:shd w:fill="EEF2FF"/>
          </w:tcPr>
          <w:p>
            <w:r/>
            <w:r>
              <w:rPr>
                <w:b w:val="0"/>
              </w:rPr>
              <w:t>Confirma el color bajo el cursor.</w:t>
            </w:r>
          </w:p>
        </w:tc>
      </w:tr>
      <w:tr>
        <w:tc>
          <w:tcPr>
            <w:tcW w:type="dxa" w:w="3168"/>
            <w:vAlign w:val="center"/>
          </w:tcPr>
          <w:p>
            <w:r/>
            <w:r>
              <w:rPr>
                <w:b w:val="0"/>
              </w:rPr>
              <w:t>F7</w:t>
            </w:r>
          </w:p>
        </w:tc>
        <w:tc>
          <w:tcPr>
            <w:tcW w:type="dxa" w:w="6912"/>
            <w:vAlign w:val="center"/>
          </w:tcPr>
          <w:p>
            <w:r/>
            <w:r>
              <w:rPr>
                <w:b w:val="0"/>
              </w:rPr>
              <w:t>Confirma la posición fija bajo el cursor.</w:t>
            </w:r>
          </w:p>
        </w:tc>
      </w:tr>
      <w:tr>
        <w:tc>
          <w:tcPr>
            <w:tcW w:type="dxa" w:w="3168"/>
            <w:vAlign w:val="center"/>
            <w:shd w:fill="EEF2FF"/>
          </w:tcPr>
          <w:p>
            <w:r/>
            <w:r>
              <w:rPr>
                <w:b w:val="0"/>
              </w:rPr>
              <w:t>Speed Test</w:t>
            </w:r>
          </w:p>
        </w:tc>
        <w:tc>
          <w:tcPr>
            <w:tcW w:type="dxa" w:w="6912"/>
            <w:vAlign w:val="center"/>
            <w:shd w:fill="EEF2FF"/>
          </w:tcPr>
          <w:p>
            <w:r/>
            <w:r>
              <w:rPr>
                <w:b w:val="0"/>
              </w:rPr>
              <w:t>Abre una prueba de diez mediciones de reacción.</w:t>
            </w:r>
          </w:p>
        </w:tc>
      </w:tr>
      <w:tr>
        <w:tc>
          <w:tcPr>
            <w:tcW w:type="dxa" w:w="3168"/>
            <w:vAlign w:val="center"/>
          </w:tcPr>
          <w:p>
            <w:r/>
            <w:r>
              <w:rPr>
                <w:b w:val="0"/>
              </w:rPr>
              <w:t>Help</w:t>
            </w:r>
          </w:p>
        </w:tc>
        <w:tc>
          <w:tcPr>
            <w:tcW w:type="dxa" w:w="6912"/>
            <w:vAlign w:val="center"/>
          </w:tcPr>
          <w:p>
            <w:r/>
            <w:r>
              <w:rPr>
                <w:b w:val="0"/>
              </w:rPr>
              <w:t>Muestra instrucciones y valores recomendados.</w:t>
            </w:r>
          </w:p>
        </w:tc>
      </w:tr>
      <w:tr>
        <w:tc>
          <w:tcPr>
            <w:tcW w:type="dxa" w:w="3168"/>
            <w:vAlign w:val="center"/>
            <w:shd w:fill="EEF2FF"/>
          </w:tcPr>
          <w:p>
            <w:r/>
            <w:r>
              <w:rPr>
                <w:b w:val="0"/>
              </w:rPr>
              <w:t>Delete License</w:t>
            </w:r>
          </w:p>
        </w:tc>
        <w:tc>
          <w:tcPr>
            <w:tcW w:type="dxa" w:w="6912"/>
            <w:vAlign w:val="center"/>
            <w:shd w:fill="EEF2FF"/>
          </w:tcPr>
          <w:p>
            <w:r/>
            <w:r>
              <w:rPr>
                <w:b w:val="0"/>
              </w:rPr>
              <w:t>Elimina la licencia local y cierra la aplicación después de confirmar.</w:t>
            </w:r>
          </w:p>
        </w:tc>
      </w:tr>
    </w:tbl>
    <w:p/>
    <w:p>
      <w:pPr>
        <w:pStyle w:val="Heading1"/>
      </w:pPr>
      <w:r>
        <w:t>8. Lógica de coincidencia de color</w:t>
      </w:r>
    </w:p>
    <w:p>
      <w:r>
        <w:t>La coincidencia no usa una distancia de color compleja: compara cada canal por separado. Para un color objetivo (Rt, Gt, Bt) y un color capturado (R, G, B), existe coincidencia cuando se cumplen simultáneamente las tres condiciones:</w:t>
      </w:r>
    </w:p>
    <w:p>
      <w:pPr>
        <w:jc w:val="center"/>
      </w:pPr>
      <w:r>
        <w:rPr>
          <w:rFonts w:ascii="Consolas" w:hAnsi="Consolas"/>
          <w:b/>
        </w:rPr>
        <w:t>|R − Rt| ≤ tolerancia   y   |G − Gt| ≤ tolerancia   y   |B − Bt| ≤ tolerancia</w:t>
      </w:r>
    </w:p>
    <w:p>
      <w:r>
        <w:t>Tras el primer clic, el programa usa una tolerancia de retención mayor (tolerancia + 30) mientras espera que el objetivo desaparezca. Esto ayuda a evitar múltiples clics causados por parpadeos o pequeñas variaciones visuales.</w:t>
      </w:r>
    </w:p>
    <w:p>
      <w:pPr>
        <w:pStyle w:val="Heading1"/>
      </w:pPr>
      <w:r>
        <w:t>9. Prueba de velocidad</w:t>
      </w:r>
    </w:p>
    <w:p>
      <w:r>
        <w:t>El Speed Tester mide la reacción del sistema en diez pruebas. La ventana comienza en negro, cambia aleatoriamente después de 1 a 3 segundos al color objetivo y registra el tiempo hasta detectar el clic. Al finalizar muestra:</w:t>
      </w:r>
    </w:p>
    <w:p>
      <w:pPr>
        <w:pStyle w:val="ListBullet"/>
      </w:pPr>
      <w:r>
        <w:t>Tiempo de reacción de cada prueba.</w:t>
      </w:r>
    </w:p>
    <w:p>
      <w:pPr>
        <w:pStyle w:val="ListBullet"/>
      </w:pPr>
      <w:r>
        <w:t>Mejor tiempo.</w:t>
      </w:r>
    </w:p>
    <w:p>
      <w:pPr>
        <w:pStyle w:val="ListBullet"/>
      </w:pPr>
      <w:r>
        <w:t>Peor tiempo.</w:t>
      </w:r>
    </w:p>
    <w:p>
      <w:pPr>
        <w:pStyle w:val="ListBullet"/>
      </w:pPr>
      <w:r>
        <w:t>Promedio.</w:t>
      </w:r>
    </w:p>
    <w:p>
      <w:pPr>
        <w:pStyle w:val="ListBullet"/>
      </w:pPr>
      <w:r>
        <w:t>Desviación estándar.</w:t>
      </w:r>
    </w:p>
    <w:p>
      <w:r>
        <w:t>La prueba sirve para observar el comportamiento de la automatización; no representa únicamente el tiempo interno del algoritmo, ya que también puede incluir latencia del sistema operativo, del juego o de la captura de pantalla.</w:t>
      </w:r>
    </w:p>
    <w:p>
      <w:pPr>
        <w:pStyle w:val="Heading1"/>
      </w:pPr>
      <w:r>
        <w:t>10. Licencia y asociación al equipo</w:t>
      </w:r>
    </w:p>
    <w:p>
      <w:r>
        <w:t>Antes de mostrar la interfaz principal, TriggerBot valida una licencia almacenada en el archivo .triggerbot_license dentro del perfil del usuario. La validación combina la clave, una fecha de expiración y un segmento derivado del identificador de hardware del equipo.</w:t>
      </w:r>
    </w:p>
    <w:p>
      <w:pPr>
        <w:pStyle w:val="ListBullet"/>
      </w:pPr>
      <w:r>
        <w:t>La clave debe tener 84 caracteres.</w:t>
      </w:r>
    </w:p>
    <w:p>
      <w:pPr>
        <w:pStyle w:val="ListBullet"/>
      </w:pPr>
      <w:r>
        <w:t>Se verifica que no esté vencida.</w:t>
      </w:r>
    </w:p>
    <w:p>
      <w:pPr>
        <w:pStyle w:val="ListBullet"/>
      </w:pPr>
      <w:r>
        <w:t>Se comprueba que el segmento de hardware coincida con el equipo actual.</w:t>
      </w:r>
    </w:p>
    <w:p>
      <w:pPr>
        <w:pStyle w:val="ListBullet"/>
      </w:pPr>
      <w:r>
        <w:t>La aplicación puede mostrar y copiar el hardware ID para procesos de soporte o activación.</w:t>
      </w:r>
    </w:p>
    <w:p>
      <w:pPr>
        <w:pStyle w:val="ListBullet"/>
      </w:pPr>
      <w:r>
        <w:t>Una licencia inválida impide continuar hacia la interfaz principal.</w:t>
      </w:r>
    </w:p>
    <w:p>
      <w:pPr>
        <w:pStyle w:val="Heading1"/>
      </w:pPr>
      <w:r>
        <w:t>11. Configuración persistente</w:t>
      </w:r>
    </w:p>
    <w:p>
      <w:r>
        <w:t>La configuración se guarda en config.json junto al programa. El archivo contiene el color objetivo, tolerancia, retardos, geometría de ventana, tema, opacidad, idioma, posición fija y estado del bloqueo.</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4F46E5"/>
          </w:tcPr>
          <w:p>
            <w:r/>
            <w:r>
              <w:rPr>
                <w:b/>
                <w:color w:val="FFFFFF"/>
              </w:rPr>
              <w:t>Campo</w:t>
            </w:r>
          </w:p>
        </w:tc>
        <w:tc>
          <w:tcPr>
            <w:tcW w:type="dxa" w:w="2016"/>
            <w:vAlign w:val="center"/>
            <w:shd w:fill="4F46E5"/>
          </w:tcPr>
          <w:p>
            <w:r/>
            <w:r>
              <w:rPr>
                <w:b/>
                <w:color w:val="FFFFFF"/>
              </w:rPr>
              <w:t>Ejemplo</w:t>
            </w:r>
          </w:p>
        </w:tc>
        <w:tc>
          <w:tcPr>
            <w:tcW w:type="dxa" w:w="5472"/>
            <w:vAlign w:val="center"/>
            <w:shd w:fill="4F46E5"/>
          </w:tcPr>
          <w:p>
            <w:r/>
            <w:r>
              <w:rPr>
                <w:b/>
                <w:color w:val="FFFFFF"/>
              </w:rPr>
              <w:t>Descripción</w:t>
            </w:r>
          </w:p>
        </w:tc>
      </w:tr>
      <w:tr>
        <w:tc>
          <w:tcPr>
            <w:tcW w:type="dxa" w:w="2592"/>
            <w:vAlign w:val="center"/>
            <w:shd w:fill="EEF2FF"/>
          </w:tcPr>
          <w:p>
            <w:r/>
            <w:r>
              <w:rPr>
                <w:b w:val="0"/>
              </w:rPr>
              <w:t>target_color</w:t>
            </w:r>
          </w:p>
        </w:tc>
        <w:tc>
          <w:tcPr>
            <w:tcW w:type="dxa" w:w="2016"/>
            <w:vAlign w:val="center"/>
            <w:shd w:fill="EEF2FF"/>
          </w:tcPr>
          <w:p>
            <w:r/>
            <w:r>
              <w:rPr>
                <w:b w:val="0"/>
              </w:rPr>
              <w:t>[179, 0, 0]</w:t>
            </w:r>
          </w:p>
        </w:tc>
        <w:tc>
          <w:tcPr>
            <w:tcW w:type="dxa" w:w="5472"/>
            <w:vAlign w:val="center"/>
            <w:shd w:fill="EEF2FF"/>
          </w:tcPr>
          <w:p>
            <w:r/>
            <w:r>
              <w:rPr>
                <w:b w:val="0"/>
              </w:rPr>
              <w:t>Color RGB seleccionado.</w:t>
            </w:r>
          </w:p>
        </w:tc>
      </w:tr>
      <w:tr>
        <w:tc>
          <w:tcPr>
            <w:tcW w:type="dxa" w:w="2592"/>
            <w:vAlign w:val="center"/>
          </w:tcPr>
          <w:p>
            <w:r/>
            <w:r>
              <w:rPr>
                <w:b w:val="0"/>
              </w:rPr>
              <w:t>tolerance</w:t>
            </w:r>
          </w:p>
        </w:tc>
        <w:tc>
          <w:tcPr>
            <w:tcW w:type="dxa" w:w="2016"/>
            <w:vAlign w:val="center"/>
          </w:tcPr>
          <w:p>
            <w:r/>
            <w:r>
              <w:rPr>
                <w:b w:val="0"/>
              </w:rPr>
              <w:t>75</w:t>
            </w:r>
          </w:p>
        </w:tc>
        <w:tc>
          <w:tcPr>
            <w:tcW w:type="dxa" w:w="5472"/>
            <w:vAlign w:val="center"/>
          </w:tcPr>
          <w:p>
            <w:r/>
            <w:r>
              <w:rPr>
                <w:b w:val="0"/>
              </w:rPr>
              <w:t>Tolerancia por canal.</w:t>
            </w:r>
          </w:p>
        </w:tc>
      </w:tr>
      <w:tr>
        <w:tc>
          <w:tcPr>
            <w:tcW w:type="dxa" w:w="2592"/>
            <w:vAlign w:val="center"/>
            <w:shd w:fill="EEF2FF"/>
          </w:tcPr>
          <w:p>
            <w:r/>
            <w:r>
              <w:rPr>
                <w:b w:val="0"/>
              </w:rPr>
              <w:t>click_interval</w:t>
            </w:r>
          </w:p>
        </w:tc>
        <w:tc>
          <w:tcPr>
            <w:tcW w:type="dxa" w:w="2016"/>
            <w:vAlign w:val="center"/>
            <w:shd w:fill="EEF2FF"/>
          </w:tcPr>
          <w:p>
            <w:r/>
            <w:r>
              <w:rPr>
                <w:b w:val="0"/>
              </w:rPr>
              <w:t>0.01</w:t>
            </w:r>
          </w:p>
        </w:tc>
        <w:tc>
          <w:tcPr>
            <w:tcW w:type="dxa" w:w="5472"/>
            <w:vAlign w:val="center"/>
            <w:shd w:fill="EEF2FF"/>
          </w:tcPr>
          <w:p>
            <w:r/>
            <w:r>
              <w:rPr>
                <w:b w:val="0"/>
              </w:rPr>
              <w:t>Intervalo almacenado entre clics.</w:t>
            </w:r>
          </w:p>
        </w:tc>
      </w:tr>
      <w:tr>
        <w:tc>
          <w:tcPr>
            <w:tcW w:type="dxa" w:w="2592"/>
            <w:vAlign w:val="center"/>
          </w:tcPr>
          <w:p>
            <w:r/>
            <w:r>
              <w:rPr>
                <w:b w:val="0"/>
              </w:rPr>
              <w:t>click_delay</w:t>
            </w:r>
          </w:p>
        </w:tc>
        <w:tc>
          <w:tcPr>
            <w:tcW w:type="dxa" w:w="2016"/>
            <w:vAlign w:val="center"/>
          </w:tcPr>
          <w:p>
            <w:r/>
            <w:r>
              <w:rPr>
                <w:b w:val="0"/>
              </w:rPr>
              <w:t>0.0</w:t>
            </w:r>
          </w:p>
        </w:tc>
        <w:tc>
          <w:tcPr>
            <w:tcW w:type="dxa" w:w="5472"/>
            <w:vAlign w:val="center"/>
          </w:tcPr>
          <w:p>
            <w:r/>
            <w:r>
              <w:rPr>
                <w:b w:val="0"/>
              </w:rPr>
              <w:t>Retardo antes del clic.</w:t>
            </w:r>
          </w:p>
        </w:tc>
      </w:tr>
      <w:tr>
        <w:tc>
          <w:tcPr>
            <w:tcW w:type="dxa" w:w="2592"/>
            <w:vAlign w:val="center"/>
            <w:shd w:fill="EEF2FF"/>
          </w:tcPr>
          <w:p>
            <w:r/>
            <w:r>
              <w:rPr>
                <w:b w:val="0"/>
              </w:rPr>
              <w:t>click_cooldown</w:t>
            </w:r>
          </w:p>
        </w:tc>
        <w:tc>
          <w:tcPr>
            <w:tcW w:type="dxa" w:w="2016"/>
            <w:vAlign w:val="center"/>
            <w:shd w:fill="EEF2FF"/>
          </w:tcPr>
          <w:p>
            <w:r/>
            <w:r>
              <w:rPr>
                <w:b w:val="0"/>
              </w:rPr>
              <w:t>0.01</w:t>
            </w:r>
          </w:p>
        </w:tc>
        <w:tc>
          <w:tcPr>
            <w:tcW w:type="dxa" w:w="5472"/>
            <w:vAlign w:val="center"/>
            <w:shd w:fill="EEF2FF"/>
          </w:tcPr>
          <w:p>
            <w:r/>
            <w:r>
              <w:rPr>
                <w:b w:val="0"/>
              </w:rPr>
              <w:t>Cooldown posterior.</w:t>
            </w:r>
          </w:p>
        </w:tc>
      </w:tr>
      <w:tr>
        <w:tc>
          <w:tcPr>
            <w:tcW w:type="dxa" w:w="2592"/>
            <w:vAlign w:val="center"/>
          </w:tcPr>
          <w:p>
            <w:r/>
            <w:r>
              <w:rPr>
                <w:b w:val="0"/>
              </w:rPr>
              <w:t>locked_position</w:t>
            </w:r>
          </w:p>
        </w:tc>
        <w:tc>
          <w:tcPr>
            <w:tcW w:type="dxa" w:w="2016"/>
            <w:vAlign w:val="center"/>
          </w:tcPr>
          <w:p>
            <w:r/>
            <w:r>
              <w:rPr>
                <w:b w:val="0"/>
              </w:rPr>
              <w:t>[959, 571]</w:t>
            </w:r>
          </w:p>
        </w:tc>
        <w:tc>
          <w:tcPr>
            <w:tcW w:type="dxa" w:w="5472"/>
            <w:vAlign w:val="center"/>
          </w:tcPr>
          <w:p>
            <w:r/>
            <w:r>
              <w:rPr>
                <w:b w:val="0"/>
              </w:rPr>
              <w:t>Coordenadas fijas.</w:t>
            </w:r>
          </w:p>
        </w:tc>
      </w:tr>
      <w:tr>
        <w:tc>
          <w:tcPr>
            <w:tcW w:type="dxa" w:w="2592"/>
            <w:vAlign w:val="center"/>
            <w:shd w:fill="EEF2FF"/>
          </w:tcPr>
          <w:p>
            <w:r/>
            <w:r>
              <w:rPr>
                <w:b w:val="0"/>
              </w:rPr>
              <w:t>position_lock_enabled</w:t>
            </w:r>
          </w:p>
        </w:tc>
        <w:tc>
          <w:tcPr>
            <w:tcW w:type="dxa" w:w="2016"/>
            <w:vAlign w:val="center"/>
            <w:shd w:fill="EEF2FF"/>
          </w:tcPr>
          <w:p>
            <w:r/>
            <w:r>
              <w:rPr>
                <w:b w:val="0"/>
              </w:rPr>
              <w:t>true</w:t>
            </w:r>
          </w:p>
        </w:tc>
        <w:tc>
          <w:tcPr>
            <w:tcW w:type="dxa" w:w="5472"/>
            <w:vAlign w:val="center"/>
            <w:shd w:fill="EEF2FF"/>
          </w:tcPr>
          <w:p>
            <w:r/>
            <w:r>
              <w:rPr>
                <w:b w:val="0"/>
              </w:rPr>
              <w:t>Indica si se usa la posición fija.</w:t>
            </w:r>
          </w:p>
        </w:tc>
      </w:tr>
    </w:tbl>
    <w:p/>
    <w:p>
      <w:pPr>
        <w:pStyle w:val="Heading1"/>
      </w:pPr>
      <w:r>
        <w:t>12. Requisitos y componentes</w:t>
      </w:r>
    </w:p>
    <w:p>
      <w:pPr>
        <w:pStyle w:val="ListBullet"/>
      </w:pPr>
      <w:r>
        <w:t>Sistema operativo Windows, porque la captura rápida utiliza APIs GDI y funciones de win32.</w:t>
      </w:r>
    </w:p>
    <w:p>
      <w:pPr>
        <w:pStyle w:val="ListBullet"/>
      </w:pPr>
      <w:r>
        <w:t>Python y las dependencias definidas en requirements.txt para ejecutar el código fuente.</w:t>
      </w:r>
    </w:p>
    <w:p>
      <w:pPr>
        <w:pStyle w:val="ListBullet"/>
      </w:pPr>
      <w:r>
        <w:t>customtkinter para la interfaz gráfica.</w:t>
      </w:r>
    </w:p>
    <w:p>
      <w:pPr>
        <w:pStyle w:val="ListBullet"/>
      </w:pPr>
      <w:r>
        <w:t>Pillow y ImageGrab para capturas puntuales durante la selección de color.</w:t>
      </w:r>
    </w:p>
    <w:p>
      <w:pPr>
        <w:pStyle w:val="ListBullet"/>
      </w:pPr>
      <w:r>
        <w:t>pyautogui y keyboard para interacción con cursor y teclado.</w:t>
      </w:r>
    </w:p>
    <w:p>
      <w:pPr>
        <w:pStyle w:val="ListBullet"/>
      </w:pPr>
      <w:r>
        <w:t>PyWin32 / APIs de Windows para coordenadas, captura de píxel y eventos del mouse.</w:t>
      </w:r>
    </w:p>
    <w:p>
      <w:pPr>
        <w:pStyle w:val="ListBullet"/>
      </w:pPr>
      <w:r>
        <w:t>El proyecto también incluye ejecutables empaquetados dentro de dist/.</w:t>
      </w:r>
    </w:p>
    <w:p>
      <w:pPr>
        <w:pStyle w:val="Heading1"/>
      </w:pPr>
      <w:r>
        <w:t>13. Limitaciones y consideraciones</w:t>
      </w:r>
    </w:p>
    <w:p>
      <w:pPr>
        <w:pStyle w:val="ListBullet"/>
      </w:pPr>
      <w:r>
        <w:t>La implementación está orientada a Windows; las funciones GDI y win32 no son portables directamente a otros sistemas.</w:t>
      </w:r>
    </w:p>
    <w:p>
      <w:pPr>
        <w:pStyle w:val="ListBullet"/>
      </w:pPr>
      <w:r>
        <w:t>El detector analiza un único píxel. Si el elemento cambia de posición o el cursor no está bien ubicado, no habrá coincidencia.</w:t>
      </w:r>
    </w:p>
    <w:p>
      <w:pPr>
        <w:pStyle w:val="ListBullet"/>
      </w:pPr>
      <w:r>
        <w:t>Una tolerancia muy alta puede producir falsos positivos; una tolerancia muy baja puede perder coincidencias por cambios de iluminación, efectos o compresión.</w:t>
      </w:r>
    </w:p>
    <w:p>
      <w:pPr>
        <w:pStyle w:val="ListBullet"/>
      </w:pPr>
      <w:r>
        <w:t>La tecla E es el control de disparo en la versión independiente documentada; debe mantenerse presionada durante la detección.</w:t>
      </w:r>
    </w:p>
    <w:p>
      <w:pPr>
        <w:pStyle w:val="ListBullet"/>
      </w:pPr>
      <w:r>
        <w:t>El uso de entradas automatizadas puede estar prohibido por juegos, aplicaciones o servicios. El usuario debe verificar sus condiciones de uso.</w:t>
      </w:r>
    </w:p>
    <w:p>
      <w:pPr>
        <w:pStyle w:val="ListBullet"/>
      </w:pPr>
      <w:r>
        <w:t>El parámetro Click interval se conserva en la configuración y la interfaz, pero el flujo principal actual se regula de forma más directa mediante espera de desaparición y cooldown.</w:t>
      </w:r>
    </w:p>
    <w:p>
      <w:pPr>
        <w:pStyle w:val="Heading1"/>
      </w:pPr>
      <w:r>
        <w:t>14. Procedimiento recomendado de uso</w:t>
      </w:r>
    </w:p>
    <w:p>
      <w:pPr>
        <w:pStyle w:val="ListNumber"/>
      </w:pPr>
      <w:r>
        <w:t>Ejecutar TriggerBot y completar la validación de licencia.</w:t>
      </w:r>
    </w:p>
    <w:p>
      <w:pPr>
        <w:pStyle w:val="ListNumber"/>
      </w:pPr>
      <w:r>
        <w:t>Colocar el cursor sobre el píxel que representa el evento visual.</w:t>
      </w:r>
    </w:p>
    <w:p>
      <w:pPr>
        <w:pStyle w:val="ListNumber"/>
      </w:pPr>
      <w:r>
        <w:t>Pulsar el botón de selección de color y confirmar con F6.</w:t>
      </w:r>
    </w:p>
    <w:p>
      <w:pPr>
        <w:pStyle w:val="ListNumber"/>
      </w:pPr>
      <w:r>
        <w:t>Si se necesita una coordenada estable, colocar el cursor allí y confirmarla con F7; luego activar el bloqueo de posición.</w:t>
      </w:r>
    </w:p>
    <w:p>
      <w:pPr>
        <w:pStyle w:val="ListNumber"/>
      </w:pPr>
      <w:r>
        <w:t>Comenzar con una tolerancia moderada, por ejemplo 10–30, y aumentarla solo si el color varía.</w:t>
      </w:r>
    </w:p>
    <w:p>
      <w:pPr>
        <w:pStyle w:val="ListNumber"/>
      </w:pPr>
      <w:r>
        <w:t>Usar Click delay en 0 para respuesta inmediata o aumentarlo si se necesita una espera controlada.</w:t>
      </w:r>
    </w:p>
    <w:p>
      <w:pPr>
        <w:pStyle w:val="ListNumber"/>
      </w:pPr>
      <w:r>
        <w:t>Configurar un cooldown suficiente para evitar dobles detecciones.</w:t>
      </w:r>
    </w:p>
    <w:p>
      <w:pPr>
        <w:pStyle w:val="ListNumber"/>
      </w:pPr>
      <w:r>
        <w:t>Activar con F5 y mantener E presionada durante la operación.</w:t>
      </w:r>
    </w:p>
    <w:p>
      <w:pPr>
        <w:pStyle w:val="ListNumber"/>
      </w:pPr>
      <w:r>
        <w:t>Usar Speed Test para observar la respuesta y ajustar los parámetros.</w:t>
      </w:r>
    </w:p>
    <w:p>
      <w:pPr>
        <w:pStyle w:val="ListNumber"/>
      </w:pPr>
      <w:r>
        <w:t>Detener con F5 antes de cambiar de objetivo o cerrar la aplicación.</w:t>
      </w:r>
    </w:p>
    <w:p>
      <w:pPr>
        <w:pStyle w:val="Heading1"/>
      </w:pPr>
      <w:r>
        <w:t>15. Resumen técnico</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4F46E5"/>
          </w:tcPr>
          <w:p>
            <w:r/>
            <w:r>
              <w:rPr>
                <w:b/>
                <w:color w:val="FFFFFF"/>
              </w:rPr>
              <w:t>Área</w:t>
            </w:r>
          </w:p>
        </w:tc>
        <w:tc>
          <w:tcPr>
            <w:tcW w:type="dxa" w:w="7488"/>
            <w:vAlign w:val="center"/>
            <w:shd w:fill="4F46E5"/>
          </w:tcPr>
          <w:p>
            <w:r/>
            <w:r>
              <w:rPr>
                <w:b/>
                <w:color w:val="FFFFFF"/>
              </w:rPr>
              <w:t>Implementación</w:t>
            </w:r>
          </w:p>
        </w:tc>
      </w:tr>
      <w:tr>
        <w:tc>
          <w:tcPr>
            <w:tcW w:type="dxa" w:w="2592"/>
            <w:vAlign w:val="center"/>
            <w:shd w:fill="EEF2FF"/>
          </w:tcPr>
          <w:p>
            <w:r/>
            <w:r>
              <w:rPr>
                <w:b w:val="0"/>
              </w:rPr>
              <w:t>Interfaz</w:t>
            </w:r>
          </w:p>
        </w:tc>
        <w:tc>
          <w:tcPr>
            <w:tcW w:type="dxa" w:w="7488"/>
            <w:vAlign w:val="center"/>
            <w:shd w:fill="EEF2FF"/>
          </w:tcPr>
          <w:p>
            <w:r/>
            <w:r>
              <w:rPr>
                <w:b w:val="0"/>
              </w:rPr>
              <w:t>CustomTkinter, ventana principal configurable y cuadros modales.</w:t>
            </w:r>
          </w:p>
        </w:tc>
      </w:tr>
      <w:tr>
        <w:tc>
          <w:tcPr>
            <w:tcW w:type="dxa" w:w="2592"/>
            <w:vAlign w:val="center"/>
          </w:tcPr>
          <w:p>
            <w:r/>
            <w:r>
              <w:rPr>
                <w:b w:val="0"/>
              </w:rPr>
              <w:t>Entrada global</w:t>
            </w:r>
          </w:p>
        </w:tc>
        <w:tc>
          <w:tcPr>
            <w:tcW w:type="dxa" w:w="7488"/>
            <w:vAlign w:val="center"/>
          </w:tcPr>
          <w:p>
            <w:r/>
            <w:r>
              <w:rPr>
                <w:b w:val="0"/>
              </w:rPr>
              <w:t>keyboard para F5, F6, F7 y E.</w:t>
            </w:r>
          </w:p>
        </w:tc>
      </w:tr>
      <w:tr>
        <w:tc>
          <w:tcPr>
            <w:tcW w:type="dxa" w:w="2592"/>
            <w:vAlign w:val="center"/>
            <w:shd w:fill="EEF2FF"/>
          </w:tcPr>
          <w:p>
            <w:r/>
            <w:r>
              <w:rPr>
                <w:b w:val="0"/>
              </w:rPr>
              <w:t>Captura de pantalla</w:t>
            </w:r>
          </w:p>
        </w:tc>
        <w:tc>
          <w:tcPr>
            <w:tcW w:type="dxa" w:w="7488"/>
            <w:vAlign w:val="center"/>
            <w:shd w:fill="EEF2FF"/>
          </w:tcPr>
          <w:p>
            <w:r/>
            <w:r>
              <w:rPr>
                <w:b w:val="0"/>
              </w:rPr>
              <w:t>GDI de Windows, lectura de 1 píxel mediante BitBlt/GetDIBits.</w:t>
            </w:r>
          </w:p>
        </w:tc>
      </w:tr>
      <w:tr>
        <w:tc>
          <w:tcPr>
            <w:tcW w:type="dxa" w:w="2592"/>
            <w:vAlign w:val="center"/>
          </w:tcPr>
          <w:p>
            <w:r/>
            <w:r>
              <w:rPr>
                <w:b w:val="0"/>
              </w:rPr>
              <w:t>Acción automática</w:t>
            </w:r>
          </w:p>
        </w:tc>
        <w:tc>
          <w:tcPr>
            <w:tcW w:type="dxa" w:w="7488"/>
            <w:vAlign w:val="center"/>
          </w:tcPr>
          <w:p>
            <w:r/>
            <w:r>
              <w:rPr>
                <w:b w:val="0"/>
              </w:rPr>
              <w:t>mouse_event con pulsación izquierda de 20 ms.</w:t>
            </w:r>
          </w:p>
        </w:tc>
      </w:tr>
      <w:tr>
        <w:tc>
          <w:tcPr>
            <w:tcW w:type="dxa" w:w="2592"/>
            <w:vAlign w:val="center"/>
            <w:shd w:fill="EEF2FF"/>
          </w:tcPr>
          <w:p>
            <w:r/>
            <w:r>
              <w:rPr>
                <w:b w:val="0"/>
              </w:rPr>
              <w:t>Persistencia</w:t>
            </w:r>
          </w:p>
        </w:tc>
        <w:tc>
          <w:tcPr>
            <w:tcW w:type="dxa" w:w="7488"/>
            <w:vAlign w:val="center"/>
            <w:shd w:fill="EEF2FF"/>
          </w:tcPr>
          <w:p>
            <w:r/>
            <w:r>
              <w:rPr>
                <w:b w:val="0"/>
              </w:rPr>
              <w:t>JSON en config.json y licencia en el perfil del usuario.</w:t>
            </w:r>
          </w:p>
        </w:tc>
      </w:tr>
      <w:tr>
        <w:tc>
          <w:tcPr>
            <w:tcW w:type="dxa" w:w="2592"/>
            <w:vAlign w:val="center"/>
          </w:tcPr>
          <w:p>
            <w:r/>
            <w:r>
              <w:rPr>
                <w:b w:val="0"/>
              </w:rPr>
              <w:t>Concurrencia</w:t>
            </w:r>
          </w:p>
        </w:tc>
        <w:tc>
          <w:tcPr>
            <w:tcW w:type="dxa" w:w="7488"/>
            <w:vAlign w:val="center"/>
          </w:tcPr>
          <w:p>
            <w:r/>
            <w:r>
              <w:rPr>
                <w:b w:val="0"/>
              </w:rPr>
              <w:t>Hilo daemon para el bucle de detección.</w:t>
            </w:r>
          </w:p>
        </w:tc>
      </w:tr>
      <w:tr>
        <w:tc>
          <w:tcPr>
            <w:tcW w:type="dxa" w:w="2592"/>
            <w:vAlign w:val="center"/>
            <w:shd w:fill="EEF2FF"/>
          </w:tcPr>
          <w:p>
            <w:r/>
            <w:r>
              <w:rPr>
                <w:b w:val="0"/>
              </w:rPr>
              <w:t>Medición</w:t>
            </w:r>
          </w:p>
        </w:tc>
        <w:tc>
          <w:tcPr>
            <w:tcW w:type="dxa" w:w="7488"/>
            <w:vAlign w:val="center"/>
            <w:shd w:fill="EEF2FF"/>
          </w:tcPr>
          <w:p>
            <w:r/>
            <w:r>
              <w:rPr>
                <w:b w:val="0"/>
              </w:rPr>
              <w:t>SpeedTester con diez muestras y estadísticas descriptivas.</w:t>
            </w:r>
          </w:p>
        </w:tc>
      </w:tr>
    </w:tbl>
    <w:p/>
    <w:p>
      <w:pPr>
        <w:pStyle w:val="Heading1"/>
      </w:pPr>
      <w:r>
        <w:t>16. Conclusión</w:t>
      </w:r>
    </w:p>
    <w:p>
      <w:r>
        <w:t>TriggerBot combina una interfaz de configuración, captura puntual de pantalla y automatización del mouse. Su funcionamiento se basa en una regla simple y rápida: cuando el píxel analizado se parece suficientemente al color elegido, se ejecuta un clic. La posición fija, la tolerancia, los retardos y el cooldown permiten adaptar el comportamiento a diferentes señales visuales, mientras que la persistencia en JSON conserva la configuración entre ejecuciones.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Documentación funcional de TriggerBot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338C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