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360" w:lineRule="auto"/>
        <w:jc w:val="center"/>
      </w:pPr>
      <w:r>
        <w:rPr>
          <w:rFonts w:ascii="Times New Roman" w:hAnsi="Times New Roman"/>
          <w:b/>
          <w:color w:val="000000"/>
          <w:sz w:val="26"/>
        </w:rPr>
        <w:t>LA REPUBLIQUE ALGERIENNE DEMOCRATIQUE ET POPULAIRE</w:t>
      </w:r>
    </w:p>
    <w:p>
      <w:pPr>
        <w:spacing w:after="80" w:before="0" w:line="360" w:lineRule="auto"/>
        <w:jc w:val="center"/>
      </w:pPr>
      <w:r>
        <w:rPr>
          <w:rFonts w:ascii="Times New Roman" w:hAnsi="Times New Roman"/>
          <w:b w:val="0"/>
          <w:color w:val="000000"/>
          <w:sz w:val="22"/>
        </w:rPr>
        <w:t>MINISTERE DE LA FORMATION ET DE L'ENSEIGNEMENT PROFESSIONNELS</w:t>
      </w:r>
    </w:p>
    <w:p>
      <w:pPr>
        <w:spacing w:after="40" w:before="0" w:line="360" w:lineRule="auto"/>
        <w:jc w:val="center"/>
      </w:pPr>
      <w:r>
        <w:rPr>
          <w:rFonts w:ascii="Times New Roman" w:hAnsi="Times New Roman"/>
          <w:b/>
          <w:color w:val="000000"/>
          <w:sz w:val="20"/>
        </w:rPr>
        <w:t>INSTITUT NATIONAL SPECIALISE DE LA FORMATION PROFESSIONNELLE EN AUDIOVISUELS</w:t>
      </w:r>
    </w:p>
    <w:p>
      <w:pPr>
        <w:spacing w:after="400" w:before="0" w:line="360" w:lineRule="auto"/>
        <w:jc w:val="center"/>
      </w:pPr>
      <w:r>
        <w:rPr>
          <w:rFonts w:ascii="Times New Roman" w:hAnsi="Times New Roman"/>
          <w:b/>
          <w:color w:val="000000"/>
          <w:sz w:val="24"/>
        </w:rPr>
        <w:t>Echahid Ahmed Mehdi — Ouled Fayet —</w:t>
      </w:r>
    </w:p>
    <w:p>
      <w:pPr>
        <w:spacing w:after="80" w:before="0" w:line="360" w:lineRule="auto"/>
        <w:jc w:val="center"/>
      </w:pPr>
      <w:r>
        <w:rPr>
          <w:rFonts w:ascii="Times New Roman" w:hAnsi="Times New Roman"/>
          <w:b/>
          <w:color w:val="000000"/>
          <w:sz w:val="28"/>
        </w:rPr>
        <w:t>Memoire De Fin De Formation Pour L'obtention Du Diplome</w:t>
      </w:r>
    </w:p>
    <w:p>
      <w:pPr>
        <w:spacing w:after="160" w:before="0" w:line="360" w:lineRule="auto"/>
        <w:jc w:val="center"/>
      </w:pPr>
      <w:r>
        <w:rPr>
          <w:rFonts w:ascii="Times New Roman" w:hAnsi="Times New Roman"/>
          <w:b/>
          <w:color w:val="000000"/>
          <w:sz w:val="28"/>
        </w:rPr>
        <w:t>De Technicien Superieur en Informatique</w:t>
      </w:r>
    </w:p>
    <w:p>
      <w:pPr>
        <w:spacing w:after="600" w:before="0" w:line="360" w:lineRule="auto"/>
        <w:jc w:val="center"/>
      </w:pPr>
      <w:r>
        <w:rPr>
          <w:rFonts w:ascii="Times New Roman" w:hAnsi="Times New Roman"/>
          <w:b/>
          <w:color w:val="000000"/>
          <w:sz w:val="28"/>
        </w:rPr>
        <w:t>Option : DEVELOPPEMENT WEB ET MOBILE</w:t>
      </w:r>
    </w:p>
    <w:p>
      <w:pPr>
        <w:spacing w:after="240" w:before="0" w:line="360" w:lineRule="auto"/>
        <w:jc w:val="center"/>
      </w:pPr>
      <w:r>
        <w:rPr>
          <w:rFonts w:ascii="Times New Roman" w:hAnsi="Times New Roman"/>
          <w:b/>
          <w:color w:val="000000"/>
          <w:sz w:val="32"/>
        </w:rPr>
        <w:t>Theme :</w:t>
      </w:r>
    </w:p>
    <w:p>
      <w:pPr>
        <w:spacing w:after="80" w:before="0" w:line="360" w:lineRule="auto"/>
        <w:jc w:val="center"/>
      </w:pPr>
      <w:r>
        <w:rPr>
          <w:rFonts w:ascii="Times New Roman" w:hAnsi="Times New Roman"/>
          <w:b/>
          <w:color w:val="000000"/>
          <w:sz w:val="36"/>
        </w:rPr>
        <w:t>Conception Et Realisation D'une Plateforme</w:t>
      </w:r>
    </w:p>
    <w:p>
      <w:pPr>
        <w:spacing w:after="80" w:before="0" w:line="360" w:lineRule="auto"/>
        <w:jc w:val="center"/>
      </w:pPr>
      <w:r>
        <w:rPr>
          <w:rFonts w:ascii="Times New Roman" w:hAnsi="Times New Roman"/>
          <w:b/>
          <w:color w:val="000000"/>
          <w:sz w:val="36"/>
        </w:rPr>
        <w:t>Web et Mobile de Portefeuille Electronique Securise</w:t>
      </w:r>
    </w:p>
    <w:p>
      <w:pPr>
        <w:spacing w:after="80" w:before="0" w:line="360" w:lineRule="auto"/>
        <w:jc w:val="center"/>
      </w:pPr>
      <w:r>
        <w:rPr>
          <w:rFonts w:ascii="Times New Roman" w:hAnsi="Times New Roman"/>
          <w:b/>
          <w:color w:val="000000"/>
          <w:sz w:val="36"/>
        </w:rPr>
        <w:t>pour Institutions Bancaires</w:t>
      </w:r>
    </w:p>
    <w:p>
      <w:pPr>
        <w:spacing w:after="600" w:before="0" w:line="360" w:lineRule="auto"/>
        <w:jc w:val="center"/>
      </w:pPr>
      <w:r>
        <w:rPr>
          <w:rFonts w:ascii="Times New Roman" w:hAnsi="Times New Roman"/>
          <w:b/>
          <w:color w:val="000000"/>
          <w:sz w:val="36"/>
        </w:rPr>
        <w:t>« TrustDesk »</w:t>
      </w:r>
    </w:p>
    <w:p>
      <w:pPr>
        <w:spacing w:after="600" w:before="0" w:line="360" w:lineRule="auto"/>
        <w:jc w:val="center"/>
      </w:pPr>
      <w:r>
        <w:rPr>
          <w:rFonts w:ascii="Times New Roman" w:hAnsi="Times New Roman"/>
          <w:b/>
          <w:color w:val="000000"/>
          <w:sz w:val="28"/>
        </w:rPr>
        <w:t>Organisme d'accueil : BEYN</w:t>
      </w:r>
    </w:p>
    <w:tbl>
      <w:tblPr>
        <w:tblW w:type="auto" w:w="0"/>
        <w:jc w:val="center"/>
        <w:tblLayout w:type="fixed"/>
        <w:tblLook w:firstColumn="1" w:firstRow="1" w:lastColumn="0" w:lastRow="0" w:noHBand="0" w:noVBand="1" w:val="04A0"/>
      </w:tblPr>
      <w:tblGrid>
        <w:gridCol w:w="4535"/>
        <w:gridCol w:w="4535"/>
      </w:tblGrid>
      <w:tr>
        <w:tc>
          <w:tcPr>
            <w:tcW w:type="dxa" w:w="5213"/>
            <w:tcBorders>
              <w:top w:val="nil"/>
              <w:left w:val="nil"/>
              <w:bottom w:val="nil"/>
              <w:right w:val="nil"/>
              <w:insideH w:val="nil"/>
              <w:insideV w:val="nil"/>
            </w:tcBorders>
          </w:tcPr>
          <w:p>
            <w:pPr>
              <w:jc w:val="left"/>
            </w:pPr>
            <w:r>
              <w:rPr>
                <w:rFonts w:ascii="Times New Roman" w:hAnsi="Times New Roman"/>
                <w:b/>
                <w:sz w:val="24"/>
              </w:rPr>
              <w:t>Realise Par :</w:t>
              <w:br/>
            </w:r>
            <w:r>
              <w:rPr>
                <w:rFonts w:ascii="Times New Roman" w:hAnsi="Times New Roman"/>
                <w:b/>
                <w:sz w:val="24"/>
              </w:rPr>
              <w:t>M. Khalef Abdelmadjid</w:t>
              <w:br/>
              <w:t>M. Dai Khaled Wassim</w:t>
            </w:r>
          </w:p>
        </w:tc>
        <w:tc>
          <w:tcPr>
            <w:tcW w:type="dxa" w:w="5213"/>
            <w:tcBorders>
              <w:top w:val="nil"/>
              <w:left w:val="nil"/>
              <w:bottom w:val="nil"/>
              <w:right w:val="nil"/>
              <w:insideH w:val="nil"/>
              <w:insideV w:val="nil"/>
            </w:tcBorders>
          </w:tcPr>
          <w:p>
            <w:pPr>
              <w:jc w:val="right"/>
            </w:pPr>
            <w:r>
              <w:rPr>
                <w:rFonts w:ascii="Times New Roman" w:hAnsi="Times New Roman"/>
                <w:b/>
                <w:sz w:val="24"/>
              </w:rPr>
              <w:t>Suivi par :</w:t>
              <w:br/>
            </w:r>
            <w:r>
              <w:rPr>
                <w:rFonts w:ascii="Times New Roman" w:hAnsi="Times New Roman"/>
                <w:b/>
                <w:sz w:val="24"/>
              </w:rPr>
              <w:t>Mme. Himeur</w:t>
            </w:r>
          </w:p>
        </w:tc>
      </w:tr>
    </w:tbl>
    <w:p>
      <w:pPr>
        <w:spacing w:after="600" w:before="0" w:line="360" w:lineRule="auto"/>
        <w:jc w:val="center"/>
      </w:pPr>
      <w:r>
        <w:rPr>
          <w:rFonts w:ascii="Times New Roman" w:hAnsi="Times New Roman"/>
          <w:b w:val="0"/>
          <w:color w:val="000000"/>
          <w:sz w:val="24"/>
        </w:rPr>
      </w:r>
    </w:p>
    <w:p>
      <w:pPr>
        <w:spacing w:after="0" w:before="0" w:line="360" w:lineRule="auto"/>
        <w:jc w:val="center"/>
      </w:pPr>
      <w:r>
        <w:rPr>
          <w:rFonts w:ascii="Times New Roman" w:hAnsi="Times New Roman"/>
          <w:b/>
          <w:color w:val="000000"/>
          <w:sz w:val="24"/>
        </w:rPr>
        <w:t>Promotion : 2025 / 2026</w:t>
      </w:r>
    </w:p>
    <w:p>
      <w:pPr>
        <w:sectPr>
          <w:pgSz w:w="12240" w:h="15840"/>
          <w:pgMar w:top="1361" w:right="680" w:bottom="1077" w:left="1134" w:header="720" w:footer="720" w:gutter="0"/>
          <w:cols w:space="720"/>
          <w:docGrid w:linePitch="360"/>
        </w:sectPr>
      </w:pPr>
    </w:p>
    <w:p>
      <w:pPr>
        <w:pStyle w:val="Heading1"/>
      </w:pPr>
      <w:r>
        <w:t>Dedicaces</w:t>
      </w:r>
    </w:p>
    <w:p>
      <w:pPr>
        <w:spacing w:after="400" w:before="0" w:line="360" w:lineRule="auto"/>
        <w:jc w:val="center"/>
      </w:pPr>
      <w:r>
        <w:rPr>
          <w:rFonts w:ascii="Times New Roman" w:hAnsi="Times New Roman"/>
          <w:b/>
          <w:color w:val="000000"/>
          <w:sz w:val="28"/>
        </w:rPr>
        <w:t>[A completer par les auteurs]</w:t>
      </w:r>
    </w:p>
    <w:p>
      <w:pPr>
        <w:sectPr>
          <w:footerReference w:type="default" r:id="rId9"/>
          <w:pgSz w:w="12240" w:h="15840"/>
          <w:pgMar w:top="1361" w:right="680" w:bottom="1077" w:left="1134" w:header="720" w:footer="720" w:gutter="0"/>
          <w:cols w:space="720"/>
          <w:docGrid w:linePitch="360"/>
        </w:sectPr>
      </w:pPr>
    </w:p>
    <w:p>
      <w:pPr>
        <w:pStyle w:val="Heading1"/>
      </w:pPr>
      <w:r>
        <w:t>Remerciements</w:t>
      </w:r>
    </w:p>
    <w:p>
      <w:pPr>
        <w:pStyle w:val="BodyText"/>
        <w:spacing w:after="120" w:before="240"/>
        <w:jc w:val="both"/>
      </w:pPr>
      <w:r>
        <w:rPr>
          <w:rFonts w:ascii="Times New Roman" w:hAnsi="Times New Roman"/>
          <w:b w:val="0"/>
          <w:i w:val="0"/>
          <w:color w:val="000000"/>
          <w:sz w:val="24"/>
        </w:rPr>
        <w:t>Nous tenons a exprimer notre gratitude envers toutes les personnes qui ont contribue, de pres ou de loin, a la realisation de ce travail.</w:t>
      </w:r>
    </w:p>
    <w:p>
      <w:pPr>
        <w:pStyle w:val="BodyText"/>
        <w:spacing w:after="120" w:before="0"/>
        <w:jc w:val="both"/>
      </w:pPr>
      <w:r>
        <w:rPr>
          <w:rFonts w:ascii="Times New Roman" w:hAnsi="Times New Roman"/>
          <w:b w:val="0"/>
          <w:i w:val="0"/>
          <w:color w:val="000000"/>
          <w:sz w:val="24"/>
        </w:rPr>
        <w:t>Nous remercions en premier lieu Allah le Tout-Puissant de nous avoir accorde la sante, la volonte et la perseverance necessaires a la realisation de ce projet.</w:t>
      </w:r>
    </w:p>
    <w:p>
      <w:pPr>
        <w:pStyle w:val="BodyText"/>
        <w:spacing w:after="120" w:before="0"/>
        <w:jc w:val="both"/>
      </w:pPr>
      <w:r>
        <w:rPr>
          <w:rFonts w:ascii="Times New Roman" w:hAnsi="Times New Roman"/>
          <w:b w:val="0"/>
          <w:i w:val="0"/>
          <w:color w:val="000000"/>
          <w:sz w:val="24"/>
        </w:rPr>
        <w:t>Nos remerciements les plus sinceres vont a notre encadreur Mme. Himeur, pour ses precieux conseils, sa disponibilite et son suivi rigoureux tout au long de ce memoire.</w:t>
      </w:r>
    </w:p>
    <w:p>
      <w:pPr>
        <w:pStyle w:val="BodyText"/>
        <w:spacing w:after="120" w:before="0"/>
        <w:jc w:val="both"/>
      </w:pPr>
      <w:r>
        <w:rPr>
          <w:rFonts w:ascii="Times New Roman" w:hAnsi="Times New Roman"/>
          <w:b w:val="0"/>
          <w:i w:val="0"/>
          <w:color w:val="000000"/>
          <w:sz w:val="24"/>
        </w:rPr>
        <w:t>Enfin, nous adressons nos remerciements a tous les membres du jury pour l'honneur qu'ils nous font en acceptant d'evaluer ce travail.</w:t>
      </w:r>
    </w:p>
    <w:p>
      <w:pPr>
        <w:jc w:val="right"/>
      </w:pPr>
      <w:r>
        <w:rPr>
          <w:rFonts w:ascii="Times New Roman" w:hAnsi="Times New Roman"/>
          <w:b/>
        </w:rPr>
        <w:t>Wassim D., Abdelmadjid K.</w:t>
      </w:r>
    </w:p>
    <w:p>
      <w:pPr>
        <w:sectPr>
          <w:footerReference w:type="default" r:id="rId10"/>
          <w:pgSz w:w="12240" w:h="15840"/>
          <w:pgMar w:top="1361" w:right="680" w:bottom="1077" w:left="1134" w:header="720" w:footer="720" w:gutter="0"/>
          <w:cols w:space="720"/>
          <w:docGrid w:linePitch="360"/>
        </w:sectPr>
      </w:pPr>
    </w:p>
    <w:p>
      <w:pPr>
        <w:pStyle w:val="Heading1"/>
      </w:pPr>
      <w:r>
        <w:t>Resume</w:t>
      </w:r>
    </w:p>
    <w:p>
      <w:pPr>
        <w:pStyle w:val="BodyText"/>
        <w:spacing w:after="120" w:before="240"/>
        <w:jc w:val="both"/>
      </w:pPr>
      <w:r>
        <w:rPr>
          <w:rFonts w:ascii="Times New Roman" w:hAnsi="Times New Roman"/>
          <w:b w:val="0"/>
          <w:i w:val="0"/>
          <w:color w:val="000000"/>
          <w:sz w:val="24"/>
        </w:rPr>
        <w:t>Ce memoire presente la conception et la realisation de TrustDesk, une plateforme integree de portefeuille electronique securise destinee aux institutions bancaires algeriennes. La plateforme se compose d'une API RESTful centralisee (Laravel), d'un tableau de bord d'administration web (React.js), et d'une application mobile (Flutter). TrustDesk integre un parcours de verification d'identite numerique (eKYC), un systeme de cartes virtuelles securisees par chiffrement RSA-2048, et un moteur de triage intelligent.</w:t>
      </w:r>
    </w:p>
    <w:p>
      <w:pPr>
        <w:pStyle w:val="BodyText"/>
        <w:spacing w:after="120" w:before="0"/>
        <w:jc w:val="both"/>
      </w:pPr>
      <w:r>
        <w:rPr>
          <w:rFonts w:ascii="Times New Roman" w:hAnsi="Times New Roman"/>
          <w:b/>
          <w:i w:val="0"/>
          <w:color w:val="000000"/>
          <w:sz w:val="24"/>
        </w:rPr>
        <w:t>Mots-cles : portefeuille electronique, eKYC, chiffrement RSA, Flutter, Laravel.</w:t>
      </w:r>
    </w:p>
    <w:p>
      <w:pPr>
        <w:spacing w:after="600" w:before="0" w:line="360" w:lineRule="auto"/>
        <w:jc w:val="center"/>
      </w:pPr>
      <w:r>
        <w:rPr>
          <w:rFonts w:ascii="Times New Roman" w:hAnsi="Times New Roman"/>
          <w:b w:val="0"/>
          <w:color w:val="000000"/>
          <w:sz w:val="24"/>
        </w:rPr>
      </w:r>
    </w:p>
    <w:p>
      <w:pPr>
        <w:pStyle w:val="Heading1"/>
      </w:pPr>
      <w:r>
        <w:t>Abstract</w:t>
      </w:r>
    </w:p>
    <w:p>
      <w:pPr>
        <w:pStyle w:val="BodyText"/>
        <w:spacing w:after="120" w:before="240"/>
        <w:jc w:val="both"/>
      </w:pPr>
      <w:r>
        <w:rPr>
          <w:rFonts w:ascii="Times New Roman" w:hAnsi="Times New Roman"/>
          <w:b w:val="0"/>
          <w:i w:val="0"/>
          <w:color w:val="000000"/>
          <w:sz w:val="24"/>
        </w:rPr>
        <w:t>This thesis presents the design and implementation of TrustDesk, an integrated secure electronic wallet platform for Algerian banking institutions. The platform comprises a centralized RESTful API (Laravel), a web-based administration dashboard (React.js), and a mobile application (Flutter). TrustDesk integrates a digital identity verification process (eKYC), a virtual card system secured with RSA-2048 encryption, and an intelligent triage engine.</w:t>
      </w:r>
    </w:p>
    <w:p>
      <w:pPr>
        <w:pStyle w:val="BodyText"/>
        <w:spacing w:after="120" w:before="0"/>
        <w:jc w:val="both"/>
      </w:pPr>
      <w:r>
        <w:rPr>
          <w:rFonts w:ascii="Times New Roman" w:hAnsi="Times New Roman"/>
          <w:b/>
          <w:i w:val="0"/>
          <w:color w:val="000000"/>
          <w:sz w:val="24"/>
        </w:rPr>
        <w:t>Keywords: electronic wallet, eKYC, RSA encryption, Flutter, Laravel.</w:t>
      </w:r>
    </w:p>
    <w:p>
      <w:pPr>
        <w:sectPr>
          <w:footerReference w:type="default" r:id="rId11"/>
          <w:pgSz w:w="12240" w:h="15840"/>
          <w:pgMar w:top="1361" w:right="680" w:bottom="1077" w:left="1134" w:header="720" w:footer="720" w:gutter="0"/>
          <w:cols w:space="720"/>
          <w:docGrid w:linePitch="360"/>
        </w:sectPr>
      </w:pPr>
    </w:p>
    <w:p>
      <w:pPr>
        <w:pStyle w:val="Heading1"/>
      </w:pPr>
      <w:r>
        <w:t>Sommaire</w:t>
      </w:r>
    </w:p>
    <w:p>
      <w:pPr>
        <w:spacing w:after="240"/>
      </w:pPr>
      <w:r>
        <w:fldChar w:fldCharType="begin"/>
      </w:r>
      <w:r>
        <w:instrText xml:space="preserve"> TOC \o "1-3" \h \z \u </w:instrText>
      </w:r>
      <w:r>
        <w:fldChar w:fldCharType="end"/>
      </w:r>
    </w:p>
    <w:p>
      <w:pPr>
        <w:sectPr>
          <w:footerReference w:type="default" r:id="rId12"/>
          <w:pgSz w:w="12240" w:h="15840"/>
          <w:pgMar w:top="1361" w:right="680" w:bottom="1077" w:left="1134" w:header="720" w:footer="720" w:gutter="0"/>
          <w:cols w:space="720"/>
          <w:docGrid w:linePitch="360"/>
        </w:sectPr>
      </w:pPr>
    </w:p>
    <w:p>
      <w:pPr>
        <w:pStyle w:val="Heading1"/>
      </w:pPr>
      <w:r>
        <w:t>Liste des Figures</w:t>
      </w:r>
    </w:p>
    <w:p>
      <w:pPr>
        <w:pStyle w:val="BodyText"/>
        <w:spacing w:after="80"/>
        <w:ind w:left="567" w:hanging="283"/>
      </w:pPr>
      <w:r>
        <w:rPr>
          <w:rFonts w:ascii="Times New Roman" w:hAnsi="Times New Roman"/>
          <w:sz w:val="24"/>
        </w:rPr>
        <w:t>•  Figure N°1 : Diagramme de cas d'utilisation global - TrustDesk</w:t>
      </w:r>
    </w:p>
    <w:p>
      <w:pPr>
        <w:pStyle w:val="BodyText"/>
        <w:spacing w:after="80"/>
        <w:ind w:left="567" w:hanging="283"/>
      </w:pPr>
      <w:r>
        <w:rPr>
          <w:rFonts w:ascii="Times New Roman" w:hAnsi="Times New Roman"/>
          <w:sz w:val="24"/>
        </w:rPr>
        <w:t>•  Figure N°2 : Architecture globale trois tiers - TrustDesk</w:t>
      </w:r>
    </w:p>
    <w:p>
      <w:pPr>
        <w:pStyle w:val="BodyText"/>
        <w:spacing w:after="80"/>
        <w:ind w:left="567" w:hanging="283"/>
      </w:pPr>
      <w:r>
        <w:rPr>
          <w:rFonts w:ascii="Times New Roman" w:hAnsi="Times New Roman"/>
          <w:sz w:val="24"/>
        </w:rPr>
        <w:t>•  Figure N°3 : Diagramme de classes - TrustDesk</w:t>
      </w:r>
    </w:p>
    <w:p>
      <w:pPr>
        <w:pStyle w:val="BodyText"/>
        <w:spacing w:after="80"/>
        <w:ind w:left="567" w:hanging="283"/>
      </w:pPr>
      <w:r>
        <w:rPr>
          <w:rFonts w:ascii="Times New Roman" w:hAnsi="Times New Roman"/>
          <w:sz w:val="24"/>
        </w:rPr>
        <w:t>•  Figure N°4 : Modele Conceptuel des Donnees (MCD)</w:t>
      </w:r>
    </w:p>
    <w:p>
      <w:pPr>
        <w:pStyle w:val="BodyText"/>
        <w:spacing w:after="80"/>
        <w:ind w:left="567" w:hanging="283"/>
      </w:pPr>
      <w:r>
        <w:rPr>
          <w:rFonts w:ascii="Times New Roman" w:hAnsi="Times New Roman"/>
          <w:sz w:val="24"/>
        </w:rPr>
        <w:t>•  Figure N°5 : Diagramme de sequence - Inscription &amp; eKYC</w:t>
      </w:r>
    </w:p>
    <w:p>
      <w:pPr>
        <w:pStyle w:val="BodyText"/>
        <w:spacing w:after="80"/>
        <w:ind w:left="567" w:hanging="283"/>
      </w:pPr>
      <w:r>
        <w:rPr>
          <w:rFonts w:ascii="Times New Roman" w:hAnsi="Times New Roman"/>
          <w:sz w:val="24"/>
        </w:rPr>
        <w:t>•  Figure N°6 : Diagramme de sequence - Transfert P2P</w:t>
      </w:r>
    </w:p>
    <w:p>
      <w:pPr>
        <w:sectPr>
          <w:footerReference w:type="default" r:id="rId13"/>
          <w:pgSz w:w="12240" w:h="15840"/>
          <w:pgMar w:top="1361" w:right="680" w:bottom="1077" w:left="1134" w:header="720" w:footer="720" w:gutter="0"/>
          <w:cols w:space="720"/>
          <w:docGrid w:linePitch="360"/>
        </w:sectPr>
      </w:pPr>
    </w:p>
    <w:p>
      <w:pPr>
        <w:pStyle w:val="Heading1"/>
      </w:pPr>
      <w:r>
        <w:t>Liste des Tableaux</w:t>
      </w:r>
    </w:p>
    <w:p>
      <w:pPr>
        <w:pStyle w:val="BodyText"/>
        <w:spacing w:after="80"/>
        <w:ind w:left="567" w:hanging="283"/>
      </w:pPr>
      <w:r>
        <w:rPr>
          <w:rFonts w:ascii="Times New Roman" w:hAnsi="Times New Roman"/>
          <w:sz w:val="24"/>
        </w:rPr>
        <w:t>•  Tableau N°1 : Principales solutions de BEYN</w:t>
      </w:r>
    </w:p>
    <w:p>
      <w:pPr>
        <w:pStyle w:val="BodyText"/>
        <w:spacing w:after="80"/>
        <w:ind w:left="567" w:hanging="283"/>
      </w:pPr>
      <w:r>
        <w:rPr>
          <w:rFonts w:ascii="Times New Roman" w:hAnsi="Times New Roman"/>
          <w:sz w:val="24"/>
        </w:rPr>
        <w:t>•  Tableau N°2 : Recapitulatif des acteurs du systeme</w:t>
      </w:r>
    </w:p>
    <w:p>
      <w:pPr>
        <w:pStyle w:val="BodyText"/>
        <w:spacing w:after="80"/>
        <w:ind w:left="567" w:hanging="283"/>
      </w:pPr>
      <w:r>
        <w:rPr>
          <w:rFonts w:ascii="Times New Roman" w:hAnsi="Times New Roman"/>
          <w:sz w:val="24"/>
        </w:rPr>
        <w:t>•  Tableau N°3 : Exigences non fonctionnelles</w:t>
      </w:r>
    </w:p>
    <w:p>
      <w:pPr>
        <w:pStyle w:val="BodyText"/>
        <w:spacing w:after="80"/>
        <w:ind w:left="567" w:hanging="283"/>
      </w:pPr>
      <w:r>
        <w:rPr>
          <w:rFonts w:ascii="Times New Roman" w:hAnsi="Times New Roman"/>
          <w:sz w:val="24"/>
        </w:rPr>
        <w:t>•  Tableau N°4 : Description UC - Inscription eKYC</w:t>
      </w:r>
    </w:p>
    <w:p>
      <w:pPr>
        <w:pStyle w:val="BodyText"/>
        <w:spacing w:after="80"/>
        <w:ind w:left="567" w:hanging="283"/>
      </w:pPr>
      <w:r>
        <w:rPr>
          <w:rFonts w:ascii="Times New Roman" w:hAnsi="Times New Roman"/>
          <w:sz w:val="24"/>
        </w:rPr>
        <w:t>•  Tableau N°5 : Description UC - Transfert P2P</w:t>
      </w:r>
    </w:p>
    <w:p>
      <w:pPr>
        <w:sectPr>
          <w:footerReference w:type="default" r:id="rId14"/>
          <w:pgSz w:w="12240" w:h="15840"/>
          <w:pgMar w:top="1361" w:right="680" w:bottom="1077" w:left="1134" w:header="720" w:footer="720" w:gutter="0"/>
          <w:cols w:space="720"/>
          <w:docGrid w:linePitch="360"/>
        </w:sectPr>
      </w:pPr>
    </w:p>
    <w:p>
      <w:pPr>
        <w:pStyle w:val="Heading1"/>
      </w:pPr>
      <w:r>
        <w:t>Introduction Generale</w:t>
      </w:r>
    </w:p>
    <w:p>
      <w:pPr>
        <w:pStyle w:val="BodyText"/>
        <w:spacing w:after="120" w:before="240"/>
        <w:jc w:val="both"/>
      </w:pPr>
      <w:r>
        <w:rPr>
          <w:rFonts w:ascii="Times New Roman" w:hAnsi="Times New Roman"/>
          <w:b w:val="0"/>
          <w:i w:val="0"/>
          <w:color w:val="000000"/>
          <w:sz w:val="24"/>
        </w:rPr>
        <w:t>L'evolution rapide des technologies financieres (fintech) transforme profondement les modes d'interaction entre les institutions bancaires et leurs clients en Algerie. Les portefeuilles electroniques (e-wallets) s'imposent comme un levier strategique, permettant aux banques d'offrir a leurs clients des services de paiement dematerialises.</w:t>
      </w:r>
    </w:p>
    <w:p>
      <w:pPr>
        <w:pStyle w:val="BodyText"/>
        <w:spacing w:after="120" w:before="0"/>
        <w:jc w:val="both"/>
      </w:pPr>
      <w:r>
        <w:rPr>
          <w:rFonts w:ascii="Times New Roman" w:hAnsi="Times New Roman"/>
          <w:b w:val="0"/>
          <w:i w:val="0"/>
          <w:color w:val="000000"/>
          <w:sz w:val="24"/>
        </w:rPr>
        <w:t>C'est dans cette perspective que s'inscrit TrustDesk, realise au sein de BEYN. La problematique centrale de ce memoire est :</w:t>
      </w:r>
    </w:p>
    <w:p>
      <w:pPr>
        <w:pStyle w:val="BodyText"/>
        <w:spacing w:after="120" w:before="0"/>
        <w:jc w:val="both"/>
      </w:pPr>
      <w:r>
        <w:rPr>
          <w:rFonts w:ascii="Times New Roman" w:hAnsi="Times New Roman"/>
          <w:b/>
          <w:i w:val="0"/>
          <w:color w:val="000000"/>
          <w:sz w:val="24"/>
        </w:rPr>
        <w:t>« Comment concevoir et realiser une plateforme web et mobile de portefeuille electronique securise, integrant la verification d'identite numerique (eKYC) et le chiffrement des donnees ? »</w:t>
      </w:r>
    </w:p>
    <w:p>
      <w:pPr>
        <w:pStyle w:val="BodyText"/>
        <w:spacing w:after="120" w:before="0"/>
        <w:jc w:val="both"/>
      </w:pPr>
      <w:r>
        <w:rPr>
          <w:rFonts w:ascii="Times New Roman" w:hAnsi="Times New Roman"/>
          <w:b w:val="0"/>
          <w:i w:val="0"/>
          <w:color w:val="000000"/>
          <w:sz w:val="24"/>
        </w:rPr>
        <w:t>Notre travail s'articule autour des chapitres suivants :</w:t>
      </w:r>
    </w:p>
    <w:p>
      <w:pPr>
        <w:pStyle w:val="BodyText"/>
        <w:spacing w:after="80"/>
        <w:ind w:left="567" w:hanging="283"/>
      </w:pPr>
      <w:r>
        <w:rPr>
          <w:rFonts w:ascii="Times New Roman" w:hAnsi="Times New Roman"/>
          <w:sz w:val="24"/>
        </w:rPr>
        <w:t>•  Chapitre I : Etude Prealable</w:t>
      </w:r>
    </w:p>
    <w:p>
      <w:pPr>
        <w:pStyle w:val="BodyText"/>
        <w:spacing w:after="80"/>
        <w:ind w:left="567" w:hanging="283"/>
      </w:pPr>
      <w:r>
        <w:rPr>
          <w:rFonts w:ascii="Times New Roman" w:hAnsi="Times New Roman"/>
          <w:sz w:val="24"/>
        </w:rPr>
        <w:t>•  Chapitre II : Analyse et Specification des Besoins</w:t>
      </w:r>
    </w:p>
    <w:p>
      <w:pPr>
        <w:pStyle w:val="BodyText"/>
        <w:spacing w:after="80"/>
        <w:ind w:left="567" w:hanging="283"/>
      </w:pPr>
      <w:r>
        <w:rPr>
          <w:rFonts w:ascii="Times New Roman" w:hAnsi="Times New Roman"/>
          <w:sz w:val="24"/>
        </w:rPr>
        <w:t>•  Chapitre III : Conception</w:t>
      </w:r>
    </w:p>
    <w:p>
      <w:pPr>
        <w:sectPr>
          <w:footerReference w:type="default" r:id="rId15"/>
          <w:pgSz w:w="12240" w:h="15840"/>
          <w:pgMar w:top="1361" w:right="680" w:bottom="1077" w:left="1134" w:header="720" w:footer="720" w:gutter="0"/>
          <w:cols w:space="720"/>
          <w:docGrid w:linePitch="360"/>
        </w:sectPr>
      </w:pPr>
    </w:p>
    <w:p>
      <w:pPr>
        <w:jc w:val="center"/>
      </w:pPr>
      <w:r>
        <w:drawing>
          <wp:inline xmlns:a="http://schemas.openxmlformats.org/drawingml/2006/main" xmlns:pic="http://schemas.openxmlformats.org/drawingml/2006/picture">
            <wp:extent cx="5760000" cy="2250000"/>
            <wp:docPr id="1" name="Picture 1"/>
            <wp:cNvGraphicFramePr>
              <a:graphicFrameLocks noChangeAspect="1"/>
            </wp:cNvGraphicFramePr>
            <a:graphic>
              <a:graphicData uri="http://schemas.openxmlformats.org/drawingml/2006/picture">
                <pic:pic>
                  <pic:nvPicPr>
                    <pic:cNvPr id="0" name="ch1_cover.png"/>
                    <pic:cNvPicPr/>
                  </pic:nvPicPr>
                  <pic:blipFill>
                    <a:blip r:embed="rId16"/>
                    <a:stretch>
                      <a:fillRect/>
                    </a:stretch>
                  </pic:blipFill>
                  <pic:spPr>
                    <a:xfrm>
                      <a:off x="0" y="0"/>
                      <a:ext cx="5760000" cy="2250000"/>
                    </a:xfrm>
                    <a:prstGeom prst="rect"/>
                  </pic:spPr>
                </pic:pic>
              </a:graphicData>
            </a:graphic>
          </wp:inline>
        </w:drawing>
      </w:r>
    </w:p>
    <w:p>
      <w:pPr>
        <w:sectPr>
          <w:pgSz w:w="12240" w:h="15840"/>
          <w:pgMar w:top="1361" w:right="680" w:bottom="1077" w:left="1134" w:header="720" w:footer="720" w:gutter="0"/>
          <w:cols w:space="720"/>
          <w:docGrid w:linePitch="360"/>
        </w:sectPr>
      </w:pPr>
    </w:p>
    <w:p>
      <w:pPr>
        <w:pStyle w:val="Heading1"/>
      </w:pPr>
      <w:r>
        <w:t>Chapitre I : Etude Prealable</w:t>
      </w:r>
    </w:p>
    <w:p>
      <w:pPr>
        <w:pStyle w:val="Heading2"/>
      </w:pPr>
      <w:r>
        <w:t>1.1 Presentation de l'organisme d'accueil : BEYN</w:t>
      </w:r>
    </w:p>
    <w:p>
      <w:pPr>
        <w:pStyle w:val="BodyText"/>
        <w:spacing w:after="120" w:before="0"/>
        <w:jc w:val="both"/>
      </w:pPr>
      <w:r>
        <w:rPr>
          <w:rFonts w:ascii="Times New Roman" w:hAnsi="Times New Roman"/>
          <w:b w:val="0"/>
          <w:i w:val="0"/>
          <w:color w:val="000000"/>
          <w:sz w:val="24"/>
        </w:rPr>
        <w:t>Fondee en 2004, BEYN est une entreprise specialisee dans le developpement de solutions technologiques pour les institutions bancaires. Elle se positionne comme un partenaire strategique pour les banques en Algerie.</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val="clear" w:color="auto" w:fill="E0E0E0"/>
          </w:tcPr>
          <w:p>
            <w:pPr>
              <w:jc w:val="center"/>
            </w:pPr>
            <w:r>
              <w:rPr>
                <w:rFonts w:ascii="Times New Roman" w:hAnsi="Times New Roman"/>
                <w:b/>
                <w:sz w:val="22"/>
              </w:rPr>
              <w:t>Plateforme</w:t>
            </w:r>
          </w:p>
        </w:tc>
        <w:tc>
          <w:tcPr>
            <w:tcW w:type="dxa" w:w="3475"/>
            <w:shd w:val="clear" w:color="auto" w:fill="E0E0E0"/>
          </w:tcPr>
          <w:p>
            <w:pPr>
              <w:jc w:val="center"/>
            </w:pPr>
            <w:r>
              <w:rPr>
                <w:rFonts w:ascii="Times New Roman" w:hAnsi="Times New Roman"/>
                <w:b/>
                <w:sz w:val="22"/>
              </w:rPr>
              <w:t>Cible</w:t>
            </w:r>
          </w:p>
        </w:tc>
        <w:tc>
          <w:tcPr>
            <w:tcW w:type="dxa" w:w="3475"/>
            <w:shd w:val="clear" w:color="auto" w:fill="E0E0E0"/>
          </w:tcPr>
          <w:p>
            <w:pPr>
              <w:jc w:val="center"/>
            </w:pPr>
            <w:r>
              <w:rPr>
                <w:rFonts w:ascii="Times New Roman" w:hAnsi="Times New Roman"/>
                <w:b/>
                <w:sz w:val="22"/>
              </w:rPr>
              <w:t>Fonctionnalite Principale</w:t>
            </w:r>
          </w:p>
        </w:tc>
      </w:tr>
      <w:tr>
        <w:tc>
          <w:tcPr>
            <w:tcW w:type="dxa" w:w="3475"/>
          </w:tcPr>
          <w:p>
            <w:pPr>
              <w:jc w:val="center"/>
            </w:pPr>
            <w:r>
              <w:rPr>
                <w:rFonts w:ascii="Times New Roman" w:hAnsi="Times New Roman"/>
                <w:sz w:val="22"/>
              </w:rPr>
              <w:t>WimPay</w:t>
            </w:r>
          </w:p>
        </w:tc>
        <w:tc>
          <w:tcPr>
            <w:tcW w:type="dxa" w:w="3475"/>
          </w:tcPr>
          <w:p>
            <w:pPr>
              <w:jc w:val="center"/>
            </w:pPr>
            <w:r>
              <w:rPr>
                <w:rFonts w:ascii="Times New Roman" w:hAnsi="Times New Roman"/>
                <w:sz w:val="22"/>
              </w:rPr>
              <w:t>Grand public</w:t>
            </w:r>
          </w:p>
        </w:tc>
        <w:tc>
          <w:tcPr>
            <w:tcW w:type="dxa" w:w="3475"/>
          </w:tcPr>
          <w:p>
            <w:pPr>
              <w:jc w:val="center"/>
            </w:pPr>
            <w:r>
              <w:rPr>
                <w:rFonts w:ascii="Times New Roman" w:hAnsi="Times New Roman"/>
                <w:sz w:val="22"/>
              </w:rPr>
              <w:t>Paiement QR code, P2P</w:t>
            </w:r>
          </w:p>
        </w:tc>
      </w:tr>
      <w:tr>
        <w:tc>
          <w:tcPr>
            <w:tcW w:type="dxa" w:w="3475"/>
          </w:tcPr>
          <w:p>
            <w:pPr>
              <w:jc w:val="center"/>
            </w:pPr>
            <w:r>
              <w:rPr>
                <w:rFonts w:ascii="Times New Roman" w:hAnsi="Times New Roman"/>
                <w:sz w:val="22"/>
              </w:rPr>
              <w:t>SELA</w:t>
            </w:r>
          </w:p>
        </w:tc>
        <w:tc>
          <w:tcPr>
            <w:tcW w:type="dxa" w:w="3475"/>
          </w:tcPr>
          <w:p>
            <w:pPr>
              <w:jc w:val="center"/>
            </w:pPr>
            <w:r>
              <w:rPr>
                <w:rFonts w:ascii="Times New Roman" w:hAnsi="Times New Roman"/>
                <w:sz w:val="22"/>
              </w:rPr>
              <w:t>Retail banking</w:t>
            </w:r>
          </w:p>
        </w:tc>
        <w:tc>
          <w:tcPr>
            <w:tcW w:type="dxa" w:w="3475"/>
          </w:tcPr>
          <w:p>
            <w:pPr>
              <w:jc w:val="center"/>
            </w:pPr>
            <w:r>
              <w:rPr>
                <w:rFonts w:ascii="Times New Roman" w:hAnsi="Times New Roman"/>
                <w:sz w:val="22"/>
              </w:rPr>
              <w:t>Banque digitale omnicanale</w:t>
            </w:r>
          </w:p>
        </w:tc>
      </w:tr>
    </w:tbl>
    <w:p>
      <w:pPr>
        <w:spacing w:after="200" w:before="0" w:line="360" w:lineRule="auto"/>
        <w:jc w:val="center"/>
      </w:pPr>
      <w:r>
        <w:rPr>
          <w:rFonts w:ascii="Times New Roman" w:hAnsi="Times New Roman"/>
          <w:b/>
          <w:color w:val="000000"/>
          <w:sz w:val="22"/>
        </w:rPr>
        <w:t>Tableau N°1 : Principales solutions de BEYN</w:t>
      </w:r>
    </w:p>
    <w:p>
      <w:pPr>
        <w:pStyle w:val="Heading2"/>
      </w:pPr>
      <w:r>
        <w:t>1.2 Presentation du Projet TrustDesk</w:t>
      </w:r>
    </w:p>
    <w:p>
      <w:pPr>
        <w:pStyle w:val="BodyText"/>
        <w:spacing w:after="120" w:before="0"/>
        <w:jc w:val="both"/>
      </w:pPr>
      <w:r>
        <w:rPr>
          <w:rFonts w:ascii="Times New Roman" w:hAnsi="Times New Roman"/>
          <w:b w:val="0"/>
          <w:i w:val="0"/>
          <w:color w:val="000000"/>
          <w:sz w:val="24"/>
        </w:rPr>
        <w:t>TrustDesk est une plateforme integree de portefeuille electronique securise composee d'une API RESTful (Laravel), d'un dashboard web (React.js), et d'une application mobile (Flutter).</w:t>
      </w:r>
    </w:p>
    <w:p>
      <w:pPr>
        <w:sectPr>
          <w:footerReference w:type="default" r:id="rId17"/>
          <w:pgSz w:w="12240" w:h="15840"/>
          <w:pgMar w:top="1361" w:right="680" w:bottom="1077" w:left="1134" w:header="720" w:footer="720" w:gutter="0"/>
          <w:cols w:space="720"/>
          <w:docGrid w:linePitch="360"/>
        </w:sectPr>
      </w:pPr>
    </w:p>
    <w:p>
      <w:pPr>
        <w:jc w:val="center"/>
      </w:pPr>
      <w:r>
        <w:drawing>
          <wp:inline xmlns:a="http://schemas.openxmlformats.org/drawingml/2006/main" xmlns:pic="http://schemas.openxmlformats.org/drawingml/2006/picture">
            <wp:extent cx="5760000" cy="2250000"/>
            <wp:docPr id="2" name="Picture 2"/>
            <wp:cNvGraphicFramePr>
              <a:graphicFrameLocks noChangeAspect="1"/>
            </wp:cNvGraphicFramePr>
            <a:graphic>
              <a:graphicData uri="http://schemas.openxmlformats.org/drawingml/2006/picture">
                <pic:pic>
                  <pic:nvPicPr>
                    <pic:cNvPr id="0" name="ch2_cover.png"/>
                    <pic:cNvPicPr/>
                  </pic:nvPicPr>
                  <pic:blipFill>
                    <a:blip r:embed="rId18"/>
                    <a:stretch>
                      <a:fillRect/>
                    </a:stretch>
                  </pic:blipFill>
                  <pic:spPr>
                    <a:xfrm>
                      <a:off x="0" y="0"/>
                      <a:ext cx="5760000" cy="2250000"/>
                    </a:xfrm>
                    <a:prstGeom prst="rect"/>
                  </pic:spPr>
                </pic:pic>
              </a:graphicData>
            </a:graphic>
          </wp:inline>
        </w:drawing>
      </w:r>
    </w:p>
    <w:p>
      <w:pPr>
        <w:sectPr>
          <w:pgSz w:w="12240" w:h="15840"/>
          <w:pgMar w:top="1361" w:right="680" w:bottom="1077" w:left="1134" w:header="720" w:footer="720" w:gutter="0"/>
          <w:cols w:space="720"/>
          <w:docGrid w:linePitch="360"/>
        </w:sectPr>
      </w:pPr>
    </w:p>
    <w:p>
      <w:pPr>
        <w:pStyle w:val="Heading1"/>
      </w:pPr>
      <w:r>
        <w:t>Chapitre II : Analyse et Specification des Besoins</w:t>
      </w:r>
    </w:p>
    <w:p>
      <w:pPr>
        <w:pStyle w:val="Heading2"/>
      </w:pPr>
      <w:r>
        <w:t>2.1 Identification des Acteurs</w:t>
      </w:r>
    </w:p>
    <w:p>
      <w:pPr>
        <w:pStyle w:val="BodyText"/>
        <w:spacing w:after="120" w:before="0"/>
        <w:jc w:val="both"/>
      </w:pPr>
      <w:r>
        <w:rPr>
          <w:rFonts w:ascii="Times New Roman" w:hAnsi="Times New Roman"/>
          <w:b w:val="0"/>
          <w:i w:val="0"/>
          <w:color w:val="000000"/>
          <w:sz w:val="24"/>
        </w:rPr>
        <w:t>La plateforme met en interaction trois acteurs principaux :</w:t>
      </w:r>
    </w:p>
    <w:p>
      <w:pPr>
        <w:pStyle w:val="BodyText"/>
        <w:spacing w:after="80"/>
        <w:ind w:left="567" w:hanging="283"/>
      </w:pPr>
      <w:r>
        <w:rPr>
          <w:rFonts w:ascii="Times New Roman" w:hAnsi="Times New Roman"/>
          <w:sz w:val="24"/>
        </w:rPr>
        <w:t>•  Client (Utilisateur Bancaire) : Accede via l'application mobile Flutter.</w:t>
      </w:r>
    </w:p>
    <w:p>
      <w:pPr>
        <w:pStyle w:val="BodyText"/>
        <w:spacing w:after="80"/>
        <w:ind w:left="567" w:hanging="283"/>
      </w:pPr>
      <w:r>
        <w:rPr>
          <w:rFonts w:ascii="Times New Roman" w:hAnsi="Times New Roman"/>
          <w:sz w:val="24"/>
        </w:rPr>
        <w:t>•  Administrateur : Supervise via le tableau de bord web React.js.</w:t>
      </w:r>
    </w:p>
    <w:p>
      <w:pPr>
        <w:pStyle w:val="BodyText"/>
        <w:spacing w:after="80"/>
        <w:ind w:left="567" w:hanging="283"/>
      </w:pPr>
      <w:r>
        <w:rPr>
          <w:rFonts w:ascii="Times New Roman" w:hAnsi="Times New Roman"/>
          <w:sz w:val="24"/>
        </w:rPr>
        <w:t>•  Systeme : Gere le triage IA et la detection d'anomalies.</w:t>
      </w:r>
    </w:p>
    <w:p>
      <w:pPr>
        <w:pStyle w:val="Heading2"/>
      </w:pPr>
      <w:r>
        <w:t>2.2 Diagramme de Cas d'Utilisation Global</w:t>
      </w:r>
    </w:p>
    <w:p>
      <w:pPr>
        <w:jc w:val="center"/>
      </w:pPr>
      <w:r>
        <w:drawing>
          <wp:inline xmlns:a="http://schemas.openxmlformats.org/drawingml/2006/main" xmlns:pic="http://schemas.openxmlformats.org/drawingml/2006/picture">
            <wp:extent cx="5040000" cy="3780000"/>
            <wp:docPr id="3" name="Picture 3"/>
            <wp:cNvGraphicFramePr>
              <a:graphicFrameLocks noChangeAspect="1"/>
            </wp:cNvGraphicFramePr>
            <a:graphic>
              <a:graphicData uri="http://schemas.openxmlformats.org/drawingml/2006/picture">
                <pic:pic>
                  <pic:nvPicPr>
                    <pic:cNvPr id="0" name="use_case.png"/>
                    <pic:cNvPicPr/>
                  </pic:nvPicPr>
                  <pic:blipFill>
                    <a:blip r:embed="rId20"/>
                    <a:stretch>
                      <a:fillRect/>
                    </a:stretch>
                  </pic:blipFill>
                  <pic:spPr>
                    <a:xfrm>
                      <a:off x="0" y="0"/>
                      <a:ext cx="5040000" cy="3780000"/>
                    </a:xfrm>
                    <a:prstGeom prst="rect"/>
                  </pic:spPr>
                </pic:pic>
              </a:graphicData>
            </a:graphic>
          </wp:inline>
        </w:drawing>
      </w:r>
    </w:p>
    <w:p>
      <w:pPr>
        <w:spacing w:after="200" w:before="0" w:line="360" w:lineRule="auto"/>
        <w:jc w:val="center"/>
      </w:pPr>
      <w:r>
        <w:rPr>
          <w:rFonts w:ascii="Times New Roman" w:hAnsi="Times New Roman"/>
          <w:b/>
          <w:color w:val="000000"/>
          <w:sz w:val="22"/>
        </w:rPr>
        <w:t>Figure N°1 : Diagramme de cas d'utilisation global</w:t>
      </w:r>
    </w:p>
    <w:p>
      <w:pPr>
        <w:pStyle w:val="Heading2"/>
      </w:pPr>
      <w:r>
        <w:t>2.3 Specification des Besoins Fonctionnels</w:t>
      </w:r>
    </w:p>
    <w:p>
      <w:pPr>
        <w:pStyle w:val="Heading3"/>
      </w:pPr>
      <w:r>
        <w:t>Module Authentification &amp; eKYC</w:t>
      </w:r>
    </w:p>
    <w:p>
      <w:pPr>
        <w:pStyle w:val="BodyText"/>
        <w:spacing w:after="80"/>
        <w:ind w:left="567" w:hanging="283"/>
      </w:pPr>
      <w:r>
        <w:rPr>
          <w:rFonts w:ascii="Times New Roman" w:hAnsi="Times New Roman"/>
          <w:sz w:val="24"/>
        </w:rPr>
        <w:t>•  Inscription avec verification OTP et parcours eKYC (piece d'identite, selfie).</w:t>
      </w:r>
    </w:p>
    <w:p>
      <w:pPr>
        <w:pStyle w:val="Heading3"/>
      </w:pPr>
      <w:r>
        <w:t>Module Portefeuille &amp; Transactions</w:t>
      </w:r>
    </w:p>
    <w:p>
      <w:pPr>
        <w:pStyle w:val="BodyText"/>
        <w:spacing w:after="80"/>
        <w:ind w:left="567" w:hanging="283"/>
      </w:pPr>
      <w:r>
        <w:rPr>
          <w:rFonts w:ascii="Times New Roman" w:hAnsi="Times New Roman"/>
          <w:sz w:val="24"/>
        </w:rPr>
        <w:t>•  Consultation du solde et transferts P2P en temps reel.</w:t>
      </w:r>
    </w:p>
    <w:p>
      <w:pPr>
        <w:pStyle w:val="Heading2"/>
      </w:pPr>
      <w:r>
        <w:t>2.4 Descriptions Textuelles des Cas d'Utilisation</w:t>
      </w:r>
    </w:p>
    <w:tbl>
      <w:tblPr>
        <w:tblStyle w:val="TableGrid"/>
        <w:tblW w:type="auto" w:w="0"/>
        <w:jc w:val="center"/>
        <w:tblLook w:firstColumn="1" w:firstRow="1" w:lastColumn="0" w:lastRow="0" w:noHBand="0" w:noVBand="1" w:val="04A0"/>
      </w:tblPr>
      <w:tblGrid>
        <w:gridCol w:w="5213"/>
        <w:gridCol w:w="5213"/>
      </w:tblGrid>
      <w:tr>
        <w:tc>
          <w:tcPr>
            <w:tcW w:type="dxa" w:w="5213"/>
            <w:shd w:val="clear" w:color="auto" w:fill="E0E0E0"/>
          </w:tcPr>
          <w:p>
            <w:pPr>
              <w:jc w:val="center"/>
            </w:pPr>
            <w:r>
              <w:rPr>
                <w:rFonts w:ascii="Times New Roman" w:hAnsi="Times New Roman"/>
                <w:b/>
                <w:sz w:val="22"/>
              </w:rPr>
              <w:t>Champ</w:t>
            </w:r>
          </w:p>
        </w:tc>
        <w:tc>
          <w:tcPr>
            <w:tcW w:type="dxa" w:w="5213"/>
            <w:shd w:val="clear" w:color="auto" w:fill="E0E0E0"/>
          </w:tcPr>
          <w:p>
            <w:pPr>
              <w:jc w:val="center"/>
            </w:pPr>
            <w:r>
              <w:rPr>
                <w:rFonts w:ascii="Times New Roman" w:hAnsi="Times New Roman"/>
                <w:b/>
                <w:sz w:val="22"/>
              </w:rPr>
              <w:t>Description</w:t>
            </w:r>
          </w:p>
        </w:tc>
      </w:tr>
      <w:tr>
        <w:tc>
          <w:tcPr>
            <w:tcW w:type="dxa" w:w="5213"/>
          </w:tcPr>
          <w:p>
            <w:pPr>
              <w:jc w:val="center"/>
            </w:pPr>
            <w:r>
              <w:rPr>
                <w:rFonts w:ascii="Times New Roman" w:hAnsi="Times New Roman"/>
                <w:sz w:val="22"/>
              </w:rPr>
              <w:t>Cas d'utilisation</w:t>
            </w:r>
          </w:p>
        </w:tc>
        <w:tc>
          <w:tcPr>
            <w:tcW w:type="dxa" w:w="5213"/>
          </w:tcPr>
          <w:p>
            <w:pPr>
              <w:jc w:val="center"/>
            </w:pPr>
            <w:r>
              <w:rPr>
                <w:rFonts w:ascii="Times New Roman" w:hAnsi="Times New Roman"/>
                <w:sz w:val="22"/>
              </w:rPr>
              <w:t>Effectuer un transfert P2P</w:t>
            </w:r>
          </w:p>
        </w:tc>
      </w:tr>
      <w:tr>
        <w:tc>
          <w:tcPr>
            <w:tcW w:type="dxa" w:w="5213"/>
          </w:tcPr>
          <w:p>
            <w:pPr>
              <w:jc w:val="center"/>
            </w:pPr>
            <w:r>
              <w:rPr>
                <w:rFonts w:ascii="Times New Roman" w:hAnsi="Times New Roman"/>
                <w:sz w:val="22"/>
              </w:rPr>
              <w:t>Acteur principal</w:t>
            </w:r>
          </w:p>
        </w:tc>
        <w:tc>
          <w:tcPr>
            <w:tcW w:type="dxa" w:w="5213"/>
          </w:tcPr>
          <w:p>
            <w:pPr>
              <w:jc w:val="center"/>
            </w:pPr>
            <w:r>
              <w:rPr>
                <w:rFonts w:ascii="Times New Roman" w:hAnsi="Times New Roman"/>
                <w:sz w:val="22"/>
              </w:rPr>
              <w:t>Client</w:t>
            </w:r>
          </w:p>
        </w:tc>
      </w:tr>
      <w:tr>
        <w:tc>
          <w:tcPr>
            <w:tcW w:type="dxa" w:w="5213"/>
          </w:tcPr>
          <w:p>
            <w:pPr>
              <w:jc w:val="center"/>
            </w:pPr>
            <w:r>
              <w:rPr>
                <w:rFonts w:ascii="Times New Roman" w:hAnsi="Times New Roman"/>
                <w:sz w:val="22"/>
              </w:rPr>
              <w:t>Scenario nominal</w:t>
            </w:r>
          </w:p>
        </w:tc>
        <w:tc>
          <w:tcPr>
            <w:tcW w:type="dxa" w:w="5213"/>
          </w:tcPr>
          <w:p>
            <w:pPr>
              <w:jc w:val="center"/>
            </w:pPr>
            <w:r>
              <w:rPr>
                <w:rFonts w:ascii="Times New Roman" w:hAnsi="Times New Roman"/>
                <w:sz w:val="22"/>
              </w:rPr>
              <w:t>1. Saisie montant</w:t>
              <w:br/>
              <w:t>2. Verification solde</w:t>
              <w:br/>
              <w:t>3. Confirmation biometrique</w:t>
              <w:br/>
              <w:t>4. Execution</w:t>
            </w:r>
          </w:p>
        </w:tc>
      </w:tr>
    </w:tbl>
    <w:p>
      <w:pPr>
        <w:spacing w:after="200" w:before="0" w:line="360" w:lineRule="auto"/>
        <w:jc w:val="center"/>
      </w:pPr>
      <w:r>
        <w:rPr>
          <w:rFonts w:ascii="Times New Roman" w:hAnsi="Times New Roman"/>
          <w:b/>
          <w:color w:val="000000"/>
          <w:sz w:val="22"/>
        </w:rPr>
        <w:t>Tableau N°5 : Description UC - Transfert P2P</w:t>
      </w:r>
    </w:p>
    <w:p>
      <w:pPr>
        <w:sectPr>
          <w:footerReference w:type="default" r:id="rId19"/>
          <w:pgSz w:w="12240" w:h="15840"/>
          <w:pgMar w:top="1361" w:right="680" w:bottom="1077" w:left="1134" w:header="720" w:footer="720" w:gutter="0"/>
          <w:cols w:space="720"/>
          <w:docGrid w:linePitch="360"/>
        </w:sectPr>
      </w:pPr>
    </w:p>
    <w:p>
      <w:pPr>
        <w:jc w:val="center"/>
      </w:pPr>
      <w:r>
        <w:drawing>
          <wp:inline xmlns:a="http://schemas.openxmlformats.org/drawingml/2006/main" xmlns:pic="http://schemas.openxmlformats.org/drawingml/2006/picture">
            <wp:extent cx="5760000" cy="2250000"/>
            <wp:docPr id="4" name="Picture 4"/>
            <wp:cNvGraphicFramePr>
              <a:graphicFrameLocks noChangeAspect="1"/>
            </wp:cNvGraphicFramePr>
            <a:graphic>
              <a:graphicData uri="http://schemas.openxmlformats.org/drawingml/2006/picture">
                <pic:pic>
                  <pic:nvPicPr>
                    <pic:cNvPr id="0" name="ch3_cover.png"/>
                    <pic:cNvPicPr/>
                  </pic:nvPicPr>
                  <pic:blipFill>
                    <a:blip r:embed="rId21"/>
                    <a:stretch>
                      <a:fillRect/>
                    </a:stretch>
                  </pic:blipFill>
                  <pic:spPr>
                    <a:xfrm>
                      <a:off x="0" y="0"/>
                      <a:ext cx="5760000" cy="2250000"/>
                    </a:xfrm>
                    <a:prstGeom prst="rect"/>
                  </pic:spPr>
                </pic:pic>
              </a:graphicData>
            </a:graphic>
          </wp:inline>
        </w:drawing>
      </w:r>
    </w:p>
    <w:p>
      <w:pPr>
        <w:sectPr>
          <w:pgSz w:w="12240" w:h="15840"/>
          <w:pgMar w:top="1361" w:right="680" w:bottom="1077" w:left="1134" w:header="720" w:footer="720" w:gutter="0"/>
          <w:cols w:space="720"/>
          <w:docGrid w:linePitch="360"/>
        </w:sectPr>
      </w:pPr>
    </w:p>
    <w:p>
      <w:pPr>
        <w:pStyle w:val="Heading1"/>
      </w:pPr>
      <w:r>
        <w:t>Chapitre III : Conception</w:t>
      </w:r>
    </w:p>
    <w:p>
      <w:pPr>
        <w:pStyle w:val="Heading2"/>
      </w:pPr>
      <w:r>
        <w:t>3.1 Architecture Globale du Systeme</w:t>
      </w:r>
    </w:p>
    <w:p>
      <w:pPr>
        <w:pStyle w:val="BodyText"/>
        <w:spacing w:after="120" w:before="0"/>
        <w:jc w:val="both"/>
      </w:pPr>
      <w:r>
        <w:rPr>
          <w:rFonts w:ascii="Times New Roman" w:hAnsi="Times New Roman"/>
          <w:b w:val="0"/>
          <w:i w:val="0"/>
          <w:color w:val="000000"/>
          <w:sz w:val="24"/>
        </w:rPr>
        <w:t>La plateforme adopte une architecture trois tiers (Three-Tier Architecture).</w:t>
      </w:r>
    </w:p>
    <w:p>
      <w:pPr>
        <w:jc w:val="center"/>
      </w:pPr>
      <w:r>
        <w:drawing>
          <wp:inline xmlns:a="http://schemas.openxmlformats.org/drawingml/2006/main" xmlns:pic="http://schemas.openxmlformats.org/drawingml/2006/picture">
            <wp:extent cx="5400000" cy="4050000"/>
            <wp:docPr id="5" name="Picture 5"/>
            <wp:cNvGraphicFramePr>
              <a:graphicFrameLocks noChangeAspect="1"/>
            </wp:cNvGraphicFramePr>
            <a:graphic>
              <a:graphicData uri="http://schemas.openxmlformats.org/drawingml/2006/picture">
                <pic:pic>
                  <pic:nvPicPr>
                    <pic:cNvPr id="0" name="architecture.png"/>
                    <pic:cNvPicPr/>
                  </pic:nvPicPr>
                  <pic:blipFill>
                    <a:blip r:embed="rId23"/>
                    <a:stretch>
                      <a:fillRect/>
                    </a:stretch>
                  </pic:blipFill>
                  <pic:spPr>
                    <a:xfrm>
                      <a:off x="0" y="0"/>
                      <a:ext cx="5400000" cy="4050000"/>
                    </a:xfrm>
                    <a:prstGeom prst="rect"/>
                  </pic:spPr>
                </pic:pic>
              </a:graphicData>
            </a:graphic>
          </wp:inline>
        </w:drawing>
      </w:r>
    </w:p>
    <w:p>
      <w:pPr>
        <w:spacing w:after="200" w:before="0" w:line="360" w:lineRule="auto"/>
        <w:jc w:val="center"/>
      </w:pPr>
      <w:r>
        <w:rPr>
          <w:rFonts w:ascii="Times New Roman" w:hAnsi="Times New Roman"/>
          <w:b/>
          <w:color w:val="000000"/>
          <w:sz w:val="22"/>
        </w:rPr>
        <w:t>Figure N°2 : Architecture globale</w:t>
      </w:r>
    </w:p>
    <w:p>
      <w:pPr>
        <w:pStyle w:val="Heading2"/>
      </w:pPr>
      <w:r>
        <w:t>3.2 Diagramme de Classes</w:t>
      </w:r>
    </w:p>
    <w:p>
      <w:pPr>
        <w:jc w:val="center"/>
      </w:pPr>
      <w:r>
        <w:drawing>
          <wp:inline xmlns:a="http://schemas.openxmlformats.org/drawingml/2006/main" xmlns:pic="http://schemas.openxmlformats.org/drawingml/2006/picture">
            <wp:extent cx="5400000" cy="4050000"/>
            <wp:docPr id="6" name="Picture 6"/>
            <wp:cNvGraphicFramePr>
              <a:graphicFrameLocks noChangeAspect="1"/>
            </wp:cNvGraphicFramePr>
            <a:graphic>
              <a:graphicData uri="http://schemas.openxmlformats.org/drawingml/2006/picture">
                <pic:pic>
                  <pic:nvPicPr>
                    <pic:cNvPr id="0" name="class_diagram.png"/>
                    <pic:cNvPicPr/>
                  </pic:nvPicPr>
                  <pic:blipFill>
                    <a:blip r:embed="rId24"/>
                    <a:stretch>
                      <a:fillRect/>
                    </a:stretch>
                  </pic:blipFill>
                  <pic:spPr>
                    <a:xfrm>
                      <a:off x="0" y="0"/>
                      <a:ext cx="5400000" cy="4050000"/>
                    </a:xfrm>
                    <a:prstGeom prst="rect"/>
                  </pic:spPr>
                </pic:pic>
              </a:graphicData>
            </a:graphic>
          </wp:inline>
        </w:drawing>
      </w:r>
    </w:p>
    <w:p>
      <w:pPr>
        <w:spacing w:after="200" w:before="0" w:line="360" w:lineRule="auto"/>
        <w:jc w:val="center"/>
      </w:pPr>
      <w:r>
        <w:rPr>
          <w:rFonts w:ascii="Times New Roman" w:hAnsi="Times New Roman"/>
          <w:b/>
          <w:color w:val="000000"/>
          <w:sz w:val="22"/>
        </w:rPr>
        <w:t>Figure N°3 : Diagramme de classes</w:t>
      </w:r>
    </w:p>
    <w:p>
      <w:pPr>
        <w:pStyle w:val="Heading2"/>
      </w:pPr>
      <w:r>
        <w:t>3.3 Modele Conceptuel des Donnees (MCD)</w:t>
      </w:r>
    </w:p>
    <w:p>
      <w:pPr>
        <w:jc w:val="center"/>
      </w:pPr>
      <w:r>
        <w:drawing>
          <wp:inline xmlns:a="http://schemas.openxmlformats.org/drawingml/2006/main" xmlns:pic="http://schemas.openxmlformats.org/drawingml/2006/picture">
            <wp:extent cx="5400000" cy="4050000"/>
            <wp:docPr id="7" name="Picture 7"/>
            <wp:cNvGraphicFramePr>
              <a:graphicFrameLocks noChangeAspect="1"/>
            </wp:cNvGraphicFramePr>
            <a:graphic>
              <a:graphicData uri="http://schemas.openxmlformats.org/drawingml/2006/picture">
                <pic:pic>
                  <pic:nvPicPr>
                    <pic:cNvPr id="0" name="mcd.png"/>
                    <pic:cNvPicPr/>
                  </pic:nvPicPr>
                  <pic:blipFill>
                    <a:blip r:embed="rId25"/>
                    <a:stretch>
                      <a:fillRect/>
                    </a:stretch>
                  </pic:blipFill>
                  <pic:spPr>
                    <a:xfrm>
                      <a:off x="0" y="0"/>
                      <a:ext cx="5400000" cy="4050000"/>
                    </a:xfrm>
                    <a:prstGeom prst="rect"/>
                  </pic:spPr>
                </pic:pic>
              </a:graphicData>
            </a:graphic>
          </wp:inline>
        </w:drawing>
      </w:r>
    </w:p>
    <w:p>
      <w:pPr>
        <w:spacing w:after="200" w:before="0" w:line="360" w:lineRule="auto"/>
        <w:jc w:val="center"/>
      </w:pPr>
      <w:r>
        <w:rPr>
          <w:rFonts w:ascii="Times New Roman" w:hAnsi="Times New Roman"/>
          <w:b/>
          <w:color w:val="000000"/>
          <w:sz w:val="22"/>
        </w:rPr>
        <w:t>Figure N°4 : MCD</w:t>
      </w:r>
    </w:p>
    <w:p>
      <w:pPr>
        <w:pStyle w:val="Heading2"/>
      </w:pPr>
      <w:r>
        <w:t>3.4 Diagrammes de Sequence</w:t>
      </w:r>
    </w:p>
    <w:p>
      <w:pPr>
        <w:jc w:val="center"/>
      </w:pPr>
      <w:r>
        <w:drawing>
          <wp:inline xmlns:a="http://schemas.openxmlformats.org/drawingml/2006/main" xmlns:pic="http://schemas.openxmlformats.org/drawingml/2006/picture">
            <wp:extent cx="5040000" cy="3780000"/>
            <wp:docPr id="8" name="Picture 8"/>
            <wp:cNvGraphicFramePr>
              <a:graphicFrameLocks noChangeAspect="1"/>
            </wp:cNvGraphicFramePr>
            <a:graphic>
              <a:graphicData uri="http://schemas.openxmlformats.org/drawingml/2006/picture">
                <pic:pic>
                  <pic:nvPicPr>
                    <pic:cNvPr id="0" name="sequence_ekyc.png"/>
                    <pic:cNvPicPr/>
                  </pic:nvPicPr>
                  <pic:blipFill>
                    <a:blip r:embed="rId26"/>
                    <a:stretch>
                      <a:fillRect/>
                    </a:stretch>
                  </pic:blipFill>
                  <pic:spPr>
                    <a:xfrm>
                      <a:off x="0" y="0"/>
                      <a:ext cx="5040000" cy="3780000"/>
                    </a:xfrm>
                    <a:prstGeom prst="rect"/>
                  </pic:spPr>
                </pic:pic>
              </a:graphicData>
            </a:graphic>
          </wp:inline>
        </w:drawing>
      </w:r>
    </w:p>
    <w:p>
      <w:pPr>
        <w:spacing w:after="200" w:before="0" w:line="360" w:lineRule="auto"/>
        <w:jc w:val="center"/>
      </w:pPr>
      <w:r>
        <w:rPr>
          <w:rFonts w:ascii="Times New Roman" w:hAnsi="Times New Roman"/>
          <w:b/>
          <w:color w:val="000000"/>
          <w:sz w:val="22"/>
        </w:rPr>
        <w:t>Figure N°5 : Inscription &amp; eKYC</w:t>
      </w:r>
    </w:p>
    <w:p>
      <w:pPr>
        <w:jc w:val="center"/>
      </w:pPr>
      <w:r>
        <w:drawing>
          <wp:inline xmlns:a="http://schemas.openxmlformats.org/drawingml/2006/main" xmlns:pic="http://schemas.openxmlformats.org/drawingml/2006/picture">
            <wp:extent cx="5040000" cy="3780000"/>
            <wp:docPr id="9" name="Picture 9"/>
            <wp:cNvGraphicFramePr>
              <a:graphicFrameLocks noChangeAspect="1"/>
            </wp:cNvGraphicFramePr>
            <a:graphic>
              <a:graphicData uri="http://schemas.openxmlformats.org/drawingml/2006/picture">
                <pic:pic>
                  <pic:nvPicPr>
                    <pic:cNvPr id="0" name="sequence_p2p.png"/>
                    <pic:cNvPicPr/>
                  </pic:nvPicPr>
                  <pic:blipFill>
                    <a:blip r:embed="rId27"/>
                    <a:stretch>
                      <a:fillRect/>
                    </a:stretch>
                  </pic:blipFill>
                  <pic:spPr>
                    <a:xfrm>
                      <a:off x="0" y="0"/>
                      <a:ext cx="5040000" cy="3780000"/>
                    </a:xfrm>
                    <a:prstGeom prst="rect"/>
                  </pic:spPr>
                </pic:pic>
              </a:graphicData>
            </a:graphic>
          </wp:inline>
        </w:drawing>
      </w:r>
    </w:p>
    <w:p>
      <w:pPr>
        <w:spacing w:after="200" w:before="0" w:line="360" w:lineRule="auto"/>
        <w:jc w:val="center"/>
      </w:pPr>
      <w:r>
        <w:rPr>
          <w:rFonts w:ascii="Times New Roman" w:hAnsi="Times New Roman"/>
          <w:b/>
          <w:color w:val="000000"/>
          <w:sz w:val="22"/>
        </w:rPr>
        <w:t>Figure N°6 : Transfert P2P</w:t>
      </w:r>
    </w:p>
    <w:sectPr w:rsidR="00FC693F" w:rsidRPr="0006063C" w:rsidSect="00034616">
      <w:footerReference w:type="default" r:id="rId22"/>
      <w:pgSz w:w="12240" w:h="15840"/>
      <w:pgMar w:top="1361" w:right="680"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jc w:val="both"/>
    </w:pPr>
    <w:rPr>
      <w:rFonts w:ascii="Times New Roman" w:hAnsi="Times New Roman" w:cs="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image" Target="media/image1.png"/><Relationship Id="rId17" Type="http://schemas.openxmlformats.org/officeDocument/2006/relationships/footer" Target="footer8.xml"/><Relationship Id="rId18" Type="http://schemas.openxmlformats.org/officeDocument/2006/relationships/image" Target="media/image2.png"/><Relationship Id="rId19" Type="http://schemas.openxmlformats.org/officeDocument/2006/relationships/footer" Target="footer9.xm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footer" Target="footer10.xml"/><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