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0E8" w:rsidRDefault="001558E2">
      <w:pPr>
        <w:numPr>
          <w:ilvl w:val="0"/>
          <w:numId w:val="1"/>
        </w:numPr>
        <w:ind w:left="0"/>
        <w:contextualSpacing/>
        <w:jc w:val="both"/>
        <w:rPr>
          <w:sz w:val="24"/>
          <w:szCs w:val="24"/>
        </w:rPr>
      </w:pPr>
      <w:r>
        <w:rPr>
          <w:rFonts w:ascii="Arial" w:eastAsia="Arial" w:hAnsi="Arial" w:cs="Arial"/>
          <w:sz w:val="24"/>
          <w:szCs w:val="24"/>
        </w:rPr>
        <w:t>El complejo mayor de histocompatibilidad o CMH (</w:t>
      </w:r>
      <w:proofErr w:type="spellStart"/>
      <w:r>
        <w:rPr>
          <w:rFonts w:ascii="Arial" w:eastAsia="Arial" w:hAnsi="Arial" w:cs="Arial"/>
          <w:b/>
          <w:sz w:val="24"/>
          <w:szCs w:val="24"/>
        </w:rPr>
        <w:t>major</w:t>
      </w:r>
      <w:proofErr w:type="spellEnd"/>
      <w:r>
        <w:rPr>
          <w:rFonts w:ascii="Arial" w:eastAsia="Arial" w:hAnsi="Arial" w:cs="Arial"/>
          <w:b/>
          <w:sz w:val="24"/>
          <w:szCs w:val="24"/>
        </w:rPr>
        <w:t xml:space="preserve"> </w:t>
      </w:r>
      <w:proofErr w:type="spellStart"/>
      <w:r>
        <w:rPr>
          <w:rFonts w:ascii="Arial" w:eastAsia="Arial" w:hAnsi="Arial" w:cs="Arial"/>
          <w:b/>
          <w:sz w:val="24"/>
          <w:szCs w:val="24"/>
        </w:rPr>
        <w:t>histocompatibility</w:t>
      </w:r>
      <w:proofErr w:type="spellEnd"/>
      <w:r>
        <w:rPr>
          <w:rFonts w:ascii="Arial" w:eastAsia="Arial" w:hAnsi="Arial" w:cs="Arial"/>
          <w:b/>
          <w:sz w:val="24"/>
          <w:szCs w:val="24"/>
        </w:rPr>
        <w:t xml:space="preserve"> </w:t>
      </w:r>
      <w:proofErr w:type="spellStart"/>
      <w:r>
        <w:rPr>
          <w:rFonts w:ascii="Arial" w:eastAsia="Arial" w:hAnsi="Arial" w:cs="Arial"/>
          <w:b/>
          <w:sz w:val="24"/>
          <w:szCs w:val="24"/>
        </w:rPr>
        <w:t>complex</w:t>
      </w:r>
      <w:proofErr w:type="spellEnd"/>
      <w:r>
        <w:rPr>
          <w:rFonts w:ascii="Arial" w:eastAsia="Arial" w:hAnsi="Arial" w:cs="Arial"/>
          <w:sz w:val="24"/>
          <w:szCs w:val="24"/>
        </w:rPr>
        <w:t xml:space="preserve">) es una familia de genes hallados en todos los vertebrados y ubicados en el brazo corto del cromosoma 6 en humanos, cuya función es la </w:t>
      </w:r>
      <w:r>
        <w:rPr>
          <w:rFonts w:ascii="Arial" w:eastAsia="Arial" w:hAnsi="Arial" w:cs="Arial"/>
          <w:b/>
          <w:sz w:val="24"/>
          <w:szCs w:val="24"/>
        </w:rPr>
        <w:t>codificación de moléculas</w:t>
      </w:r>
      <w:r>
        <w:rPr>
          <w:rFonts w:ascii="Arial" w:eastAsia="Arial" w:hAnsi="Arial" w:cs="Arial"/>
          <w:sz w:val="24"/>
          <w:szCs w:val="24"/>
        </w:rPr>
        <w:t xml:space="preserve"> (glucoproteínas) críticas para la inmunidad y para el éxito reproductivo.</w:t>
      </w:r>
    </w:p>
    <w:p w:rsidR="000240E8" w:rsidRDefault="001558E2">
      <w:pPr>
        <w:ind w:left="0"/>
        <w:jc w:val="both"/>
        <w:rPr>
          <w:rFonts w:ascii="Arial" w:eastAsia="Arial" w:hAnsi="Arial" w:cs="Arial"/>
          <w:sz w:val="24"/>
          <w:szCs w:val="24"/>
        </w:rPr>
      </w:pPr>
      <w:r>
        <w:rPr>
          <w:rFonts w:ascii="Arial" w:eastAsia="Arial" w:hAnsi="Arial" w:cs="Arial"/>
          <w:sz w:val="24"/>
          <w:szCs w:val="24"/>
        </w:rPr>
        <w:t>Estos genes codifican proteínas que se encuentran en las células inmunitarias.</w:t>
      </w:r>
    </w:p>
    <w:p w:rsidR="000240E8" w:rsidRDefault="001558E2">
      <w:pPr>
        <w:ind w:left="0"/>
        <w:jc w:val="both"/>
        <w:rPr>
          <w:rFonts w:ascii="Arial" w:eastAsia="Arial" w:hAnsi="Arial" w:cs="Arial"/>
          <w:sz w:val="24"/>
          <w:szCs w:val="24"/>
        </w:rPr>
      </w:pPr>
      <w:r>
        <w:rPr>
          <w:rFonts w:ascii="Arial" w:eastAsia="Arial" w:hAnsi="Arial" w:cs="Arial"/>
          <w:sz w:val="24"/>
          <w:szCs w:val="24"/>
        </w:rPr>
        <w:t xml:space="preserve">Uno de ellos es el HLA-DQA1, que junto con el HLA-DQB1 pertenecen a una familia de genes llamado </w:t>
      </w:r>
      <w:r>
        <w:rPr>
          <w:rFonts w:ascii="Arial" w:eastAsia="Arial" w:hAnsi="Arial" w:cs="Arial"/>
          <w:b/>
          <w:sz w:val="24"/>
          <w:szCs w:val="24"/>
        </w:rPr>
        <w:t>compl</w:t>
      </w:r>
      <w:r>
        <w:rPr>
          <w:rFonts w:ascii="Arial" w:eastAsia="Arial" w:hAnsi="Arial" w:cs="Arial"/>
          <w:b/>
          <w:sz w:val="24"/>
          <w:szCs w:val="24"/>
        </w:rPr>
        <w:t xml:space="preserve">ejo de antígeno leucocitario humano </w:t>
      </w:r>
      <w:r>
        <w:rPr>
          <w:rFonts w:ascii="Arial" w:eastAsia="Arial" w:hAnsi="Arial" w:cs="Arial"/>
          <w:sz w:val="24"/>
          <w:szCs w:val="24"/>
        </w:rPr>
        <w:t>(HLA) y ayudan al sistema inmunológico a distinguir los antígenos propios de los exógenos (virus, bacterias, etc.).</w:t>
      </w:r>
    </w:p>
    <w:p w:rsidR="000240E8" w:rsidRDefault="001558E2">
      <w:pPr>
        <w:ind w:left="0"/>
        <w:jc w:val="both"/>
        <w:rPr>
          <w:rFonts w:ascii="Arial" w:eastAsia="Arial" w:hAnsi="Arial" w:cs="Arial"/>
          <w:sz w:val="24"/>
          <w:szCs w:val="24"/>
        </w:rPr>
      </w:pPr>
      <w:r>
        <w:rPr>
          <w:rFonts w:ascii="Arial" w:eastAsia="Arial" w:hAnsi="Arial" w:cs="Arial"/>
          <w:sz w:val="24"/>
          <w:szCs w:val="24"/>
        </w:rPr>
        <w:t xml:space="preserve">Las proteínas que estos dos genes codifican se unen entre sí para formar un complejo proteico funcional </w:t>
      </w:r>
      <w:r>
        <w:rPr>
          <w:rFonts w:ascii="Arial" w:eastAsia="Arial" w:hAnsi="Arial" w:cs="Arial"/>
          <w:sz w:val="24"/>
          <w:szCs w:val="24"/>
        </w:rPr>
        <w:t>llamado DQαβ. Este complejo, que está presente en la superficie de ciertas células del sistema inmunitario, se une a péptidos en el exterior de la célula, y si el sistema inmunitario reconoce los péptidos como péptidos virales o bacterianas, desencadena un</w:t>
      </w:r>
      <w:r>
        <w:rPr>
          <w:rFonts w:ascii="Arial" w:eastAsia="Arial" w:hAnsi="Arial" w:cs="Arial"/>
          <w:sz w:val="24"/>
          <w:szCs w:val="24"/>
        </w:rPr>
        <w:t>a respuesta inmunitaria frente a ellos.</w:t>
      </w:r>
    </w:p>
    <w:p w:rsidR="000240E8" w:rsidRDefault="001558E2">
      <w:pPr>
        <w:ind w:left="0"/>
        <w:jc w:val="both"/>
        <w:rPr>
          <w:rFonts w:ascii="Arial" w:eastAsia="Arial" w:hAnsi="Arial" w:cs="Arial"/>
          <w:sz w:val="24"/>
          <w:szCs w:val="24"/>
        </w:rPr>
      </w:pPr>
      <w:r>
        <w:rPr>
          <w:rFonts w:ascii="Arial" w:eastAsia="Arial" w:hAnsi="Arial" w:cs="Arial"/>
          <w:sz w:val="24"/>
          <w:szCs w:val="24"/>
        </w:rPr>
        <w:t xml:space="preserve">Elegimos este gen porque se encuentra fuertemente relacionado con la enfermedad celíaca, que se asocia con una respuesta inmunitaria inapropiada a un segmento de la proteína del gluten llamada </w:t>
      </w:r>
      <w:proofErr w:type="spellStart"/>
      <w:r>
        <w:rPr>
          <w:rFonts w:ascii="Arial" w:eastAsia="Arial" w:hAnsi="Arial" w:cs="Arial"/>
          <w:sz w:val="24"/>
          <w:szCs w:val="24"/>
        </w:rPr>
        <w:t>gliadina</w:t>
      </w:r>
      <w:proofErr w:type="spellEnd"/>
      <w:r>
        <w:rPr>
          <w:rFonts w:ascii="Arial" w:eastAsia="Arial" w:hAnsi="Arial" w:cs="Arial"/>
          <w:sz w:val="24"/>
          <w:szCs w:val="24"/>
        </w:rPr>
        <w:t>, la cual desen</w:t>
      </w:r>
      <w:r>
        <w:rPr>
          <w:rFonts w:ascii="Arial" w:eastAsia="Arial" w:hAnsi="Arial" w:cs="Arial"/>
          <w:sz w:val="24"/>
          <w:szCs w:val="24"/>
        </w:rPr>
        <w:t>cadena inflamación que daña los órganos y tejidos del organismo, dando lugar a los signos y síntomas de la enfermedad celíaca.</w:t>
      </w:r>
    </w:p>
    <w:p w:rsidR="000240E8" w:rsidRDefault="001558E2">
      <w:pPr>
        <w:ind w:left="0"/>
        <w:jc w:val="both"/>
        <w:rPr>
          <w:rFonts w:ascii="Arial" w:eastAsia="Arial" w:hAnsi="Arial" w:cs="Arial"/>
          <w:sz w:val="24"/>
          <w:szCs w:val="24"/>
        </w:rPr>
      </w:pPr>
      <w:r>
        <w:rPr>
          <w:rFonts w:ascii="Arial" w:eastAsia="Arial" w:hAnsi="Arial" w:cs="Arial"/>
          <w:sz w:val="24"/>
          <w:szCs w:val="24"/>
        </w:rPr>
        <w:t>Y, específicamente, uno de los integrantes del grupo tiene familiares con esta enfermedad, por lo que nos pareció interesante inv</w:t>
      </w:r>
      <w:r>
        <w:rPr>
          <w:rFonts w:ascii="Arial" w:eastAsia="Arial" w:hAnsi="Arial" w:cs="Arial"/>
          <w:sz w:val="24"/>
          <w:szCs w:val="24"/>
        </w:rPr>
        <w:t>estigar para conocer un poco más sobre ella, que tan heredable es, y los motivos o causas que la provocan.</w:t>
      </w:r>
    </w:p>
    <w:p w:rsidR="000240E8" w:rsidRDefault="000240E8">
      <w:pPr>
        <w:ind w:left="0"/>
        <w:jc w:val="both"/>
        <w:rPr>
          <w:rFonts w:ascii="Arial" w:eastAsia="Arial" w:hAnsi="Arial" w:cs="Arial"/>
          <w:sz w:val="24"/>
          <w:szCs w:val="24"/>
        </w:rPr>
      </w:pPr>
    </w:p>
    <w:p w:rsidR="000240E8" w:rsidRDefault="001558E2">
      <w:pPr>
        <w:ind w:left="0"/>
        <w:jc w:val="both"/>
        <w:rPr>
          <w:rFonts w:ascii="Arial" w:eastAsia="Arial" w:hAnsi="Arial" w:cs="Arial"/>
          <w:sz w:val="24"/>
          <w:szCs w:val="24"/>
        </w:rPr>
      </w:pPr>
      <w:r>
        <w:rPr>
          <w:rFonts w:ascii="Arial" w:eastAsia="Arial" w:hAnsi="Arial" w:cs="Arial"/>
          <w:b/>
          <w:i/>
          <w:sz w:val="24"/>
          <w:szCs w:val="24"/>
        </w:rPr>
        <w:t>Link a NCBI</w:t>
      </w:r>
      <w:r>
        <w:rPr>
          <w:rFonts w:ascii="Arial" w:eastAsia="Arial" w:hAnsi="Arial" w:cs="Arial"/>
          <w:sz w:val="24"/>
          <w:szCs w:val="24"/>
        </w:rPr>
        <w:t xml:space="preserve">: </w:t>
      </w:r>
      <w:hyperlink r:id="rId5">
        <w:r>
          <w:rPr>
            <w:rFonts w:ascii="Arial" w:eastAsia="Arial" w:hAnsi="Arial" w:cs="Arial"/>
            <w:color w:val="1155CC"/>
            <w:sz w:val="24"/>
            <w:szCs w:val="24"/>
            <w:u w:val="single"/>
          </w:rPr>
          <w:t>https://www.ncbi.nlm.nih.gov/gene/3117</w:t>
        </w:r>
      </w:hyperlink>
    </w:p>
    <w:p w:rsidR="000240E8" w:rsidRDefault="000240E8">
      <w:pPr>
        <w:ind w:left="0"/>
        <w:jc w:val="both"/>
        <w:rPr>
          <w:rFonts w:ascii="Arial" w:eastAsia="Arial" w:hAnsi="Arial" w:cs="Arial"/>
          <w:sz w:val="24"/>
          <w:szCs w:val="24"/>
        </w:rPr>
      </w:pPr>
    </w:p>
    <w:p w:rsidR="000240E8" w:rsidRDefault="001558E2">
      <w:pPr>
        <w:numPr>
          <w:ilvl w:val="0"/>
          <w:numId w:val="1"/>
        </w:numPr>
        <w:ind w:left="0"/>
        <w:contextualSpacing/>
        <w:jc w:val="both"/>
        <w:rPr>
          <w:rFonts w:ascii="Arial" w:eastAsia="Arial" w:hAnsi="Arial" w:cs="Arial"/>
          <w:sz w:val="24"/>
          <w:szCs w:val="24"/>
        </w:rPr>
      </w:pPr>
      <w:r>
        <w:rPr>
          <w:rFonts w:ascii="Arial" w:eastAsia="Arial" w:hAnsi="Arial" w:cs="Arial"/>
          <w:sz w:val="24"/>
          <w:szCs w:val="24"/>
        </w:rPr>
        <w:t xml:space="preserve">En </w:t>
      </w:r>
      <w:proofErr w:type="spellStart"/>
      <w:r>
        <w:rPr>
          <w:rFonts w:ascii="Arial" w:eastAsia="Arial" w:hAnsi="Arial" w:cs="Arial"/>
          <w:b/>
          <w:sz w:val="24"/>
          <w:szCs w:val="24"/>
        </w:rPr>
        <w:t>Homologene</w:t>
      </w:r>
      <w:proofErr w:type="spellEnd"/>
      <w:r>
        <w:rPr>
          <w:rFonts w:ascii="Arial" w:eastAsia="Arial" w:hAnsi="Arial" w:cs="Arial"/>
          <w:b/>
          <w:sz w:val="24"/>
          <w:szCs w:val="24"/>
        </w:rPr>
        <w:t xml:space="preserve"> </w:t>
      </w:r>
      <w:r>
        <w:rPr>
          <w:rFonts w:ascii="Arial" w:eastAsia="Arial" w:hAnsi="Arial" w:cs="Arial"/>
          <w:sz w:val="24"/>
          <w:szCs w:val="24"/>
        </w:rPr>
        <w:t>se detallan 80 genes ho</w:t>
      </w:r>
      <w:r>
        <w:rPr>
          <w:rFonts w:ascii="Arial" w:eastAsia="Arial" w:hAnsi="Arial" w:cs="Arial"/>
          <w:sz w:val="24"/>
          <w:szCs w:val="24"/>
        </w:rPr>
        <w:t>mólogos:</w:t>
      </w:r>
    </w:p>
    <w:p w:rsidR="000240E8" w:rsidRDefault="001558E2">
      <w:pPr>
        <w:numPr>
          <w:ilvl w:val="0"/>
          <w:numId w:val="2"/>
        </w:numPr>
        <w:contextualSpacing/>
        <w:jc w:val="both"/>
        <w:rPr>
          <w:rFonts w:ascii="Arial" w:eastAsia="Arial" w:hAnsi="Arial" w:cs="Arial"/>
          <w:sz w:val="24"/>
          <w:szCs w:val="24"/>
        </w:rPr>
      </w:pPr>
      <w:r>
        <w:rPr>
          <w:rFonts w:ascii="Arial" w:eastAsia="Arial" w:hAnsi="Arial" w:cs="Arial"/>
          <w:sz w:val="24"/>
          <w:szCs w:val="24"/>
        </w:rPr>
        <w:t>Eucariotas:</w:t>
      </w:r>
    </w:p>
    <w:p w:rsidR="000240E8" w:rsidRDefault="001558E2">
      <w:pPr>
        <w:numPr>
          <w:ilvl w:val="1"/>
          <w:numId w:val="2"/>
        </w:numPr>
        <w:contextualSpacing/>
        <w:jc w:val="both"/>
        <w:rPr>
          <w:rFonts w:ascii="Arial" w:eastAsia="Arial" w:hAnsi="Arial" w:cs="Arial"/>
          <w:sz w:val="24"/>
          <w:szCs w:val="24"/>
        </w:rPr>
      </w:pPr>
      <w:r>
        <w:rPr>
          <w:rFonts w:ascii="Arial" w:eastAsia="Arial" w:hAnsi="Arial" w:cs="Arial"/>
          <w:sz w:val="24"/>
          <w:szCs w:val="24"/>
        </w:rPr>
        <w:t>Mamíferos:</w:t>
      </w:r>
    </w:p>
    <w:p w:rsidR="000240E8" w:rsidRDefault="001558E2">
      <w:pPr>
        <w:numPr>
          <w:ilvl w:val="2"/>
          <w:numId w:val="2"/>
        </w:numPr>
        <w:contextualSpacing/>
        <w:jc w:val="both"/>
        <w:rPr>
          <w:rFonts w:ascii="Arial" w:eastAsia="Arial" w:hAnsi="Arial" w:cs="Arial"/>
          <w:sz w:val="24"/>
          <w:szCs w:val="24"/>
        </w:rPr>
      </w:pPr>
      <w:r>
        <w:rPr>
          <w:rFonts w:ascii="Arial" w:eastAsia="Arial" w:hAnsi="Arial" w:cs="Arial"/>
          <w:sz w:val="24"/>
          <w:szCs w:val="24"/>
        </w:rPr>
        <w:t>Primates (72)</w:t>
      </w:r>
    </w:p>
    <w:p w:rsidR="000240E8" w:rsidRDefault="001558E2">
      <w:pPr>
        <w:numPr>
          <w:ilvl w:val="2"/>
          <w:numId w:val="2"/>
        </w:numPr>
        <w:contextualSpacing/>
        <w:jc w:val="both"/>
        <w:rPr>
          <w:rFonts w:ascii="Arial" w:eastAsia="Arial" w:hAnsi="Arial" w:cs="Arial"/>
          <w:sz w:val="24"/>
          <w:szCs w:val="24"/>
        </w:rPr>
      </w:pPr>
      <w:r>
        <w:rPr>
          <w:rFonts w:ascii="Arial" w:eastAsia="Arial" w:hAnsi="Arial" w:cs="Arial"/>
          <w:sz w:val="24"/>
          <w:szCs w:val="24"/>
        </w:rPr>
        <w:t>Roedores (1)</w:t>
      </w:r>
    </w:p>
    <w:p w:rsidR="000240E8" w:rsidRDefault="001558E2">
      <w:pPr>
        <w:numPr>
          <w:ilvl w:val="1"/>
          <w:numId w:val="2"/>
        </w:numPr>
        <w:contextualSpacing/>
        <w:jc w:val="both"/>
        <w:rPr>
          <w:rFonts w:ascii="Arial" w:eastAsia="Arial" w:hAnsi="Arial" w:cs="Arial"/>
          <w:sz w:val="24"/>
          <w:szCs w:val="24"/>
        </w:rPr>
      </w:pPr>
      <w:r>
        <w:rPr>
          <w:rFonts w:ascii="Arial" w:eastAsia="Arial" w:hAnsi="Arial" w:cs="Arial"/>
          <w:sz w:val="24"/>
          <w:szCs w:val="24"/>
        </w:rPr>
        <w:t>Anfibios: 2</w:t>
      </w:r>
    </w:p>
    <w:p w:rsidR="000240E8" w:rsidRDefault="001558E2">
      <w:pPr>
        <w:numPr>
          <w:ilvl w:val="0"/>
          <w:numId w:val="2"/>
        </w:numPr>
        <w:contextualSpacing/>
        <w:jc w:val="both"/>
        <w:rPr>
          <w:rFonts w:ascii="Arial" w:eastAsia="Arial" w:hAnsi="Arial" w:cs="Arial"/>
          <w:sz w:val="24"/>
          <w:szCs w:val="24"/>
        </w:rPr>
      </w:pPr>
      <w:r>
        <w:rPr>
          <w:rFonts w:ascii="Arial" w:eastAsia="Arial" w:hAnsi="Arial" w:cs="Arial"/>
          <w:sz w:val="24"/>
          <w:szCs w:val="24"/>
        </w:rPr>
        <w:t>Virus: 5</w:t>
      </w:r>
    </w:p>
    <w:p w:rsidR="000240E8" w:rsidRDefault="001558E2">
      <w:pPr>
        <w:ind w:left="720"/>
        <w:jc w:val="center"/>
        <w:rPr>
          <w:rFonts w:ascii="Arial" w:eastAsia="Arial" w:hAnsi="Arial" w:cs="Arial"/>
          <w:sz w:val="24"/>
          <w:szCs w:val="24"/>
        </w:rPr>
      </w:pPr>
      <w:r>
        <w:rPr>
          <w:rFonts w:ascii="Arial" w:eastAsia="Arial" w:hAnsi="Arial" w:cs="Arial"/>
          <w:noProof/>
          <w:sz w:val="24"/>
          <w:szCs w:val="24"/>
        </w:rPr>
        <w:drawing>
          <wp:inline distT="114300" distB="114300" distL="114300" distR="114300">
            <wp:extent cx="1895475" cy="1562100"/>
            <wp:effectExtent l="25400" t="25400" r="25400" b="254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r="57204"/>
                    <a:stretch>
                      <a:fillRect/>
                    </a:stretch>
                  </pic:blipFill>
                  <pic:spPr>
                    <a:xfrm>
                      <a:off x="0" y="0"/>
                      <a:ext cx="1895475" cy="1562100"/>
                    </a:xfrm>
                    <a:prstGeom prst="rect">
                      <a:avLst/>
                    </a:prstGeom>
                    <a:ln w="25400">
                      <a:solidFill>
                        <a:srgbClr val="000000"/>
                      </a:solidFill>
                      <a:prstDash val="dash"/>
                    </a:ln>
                  </pic:spPr>
                </pic:pic>
              </a:graphicData>
            </a:graphic>
          </wp:inline>
        </w:drawing>
      </w:r>
    </w:p>
    <w:p w:rsidR="000240E8" w:rsidRDefault="001558E2">
      <w:pPr>
        <w:ind w:left="0"/>
        <w:rPr>
          <w:rFonts w:ascii="Arial" w:eastAsia="Arial" w:hAnsi="Arial" w:cs="Arial"/>
          <w:sz w:val="24"/>
          <w:szCs w:val="24"/>
        </w:rPr>
      </w:pPr>
      <w:r>
        <w:rPr>
          <w:rFonts w:ascii="Arial" w:eastAsia="Arial" w:hAnsi="Arial" w:cs="Arial"/>
          <w:sz w:val="24"/>
          <w:szCs w:val="24"/>
        </w:rPr>
        <w:t xml:space="preserve">E indica que es un gen conservado por los </w:t>
      </w:r>
      <w:proofErr w:type="spellStart"/>
      <w:r>
        <w:rPr>
          <w:rFonts w:ascii="Arial" w:eastAsia="Arial" w:hAnsi="Arial" w:cs="Arial"/>
          <w:sz w:val="24"/>
          <w:szCs w:val="24"/>
        </w:rPr>
        <w:t>boreoeuterios</w:t>
      </w:r>
      <w:proofErr w:type="spellEnd"/>
      <w:r>
        <w:rPr>
          <w:rFonts w:ascii="Arial" w:eastAsia="Arial" w:hAnsi="Arial" w:cs="Arial"/>
          <w:sz w:val="24"/>
          <w:szCs w:val="24"/>
        </w:rPr>
        <w:t xml:space="preserve">, </w:t>
      </w:r>
      <w:proofErr w:type="spellStart"/>
      <w:r>
        <w:rPr>
          <w:rFonts w:ascii="Arial" w:eastAsia="Arial" w:hAnsi="Arial" w:cs="Arial"/>
          <w:sz w:val="24"/>
          <w:szCs w:val="24"/>
        </w:rPr>
        <w:t>clado</w:t>
      </w:r>
      <w:proofErr w:type="spellEnd"/>
      <w:r>
        <w:rPr>
          <w:rFonts w:ascii="Arial" w:eastAsia="Arial" w:hAnsi="Arial" w:cs="Arial"/>
          <w:sz w:val="24"/>
          <w:szCs w:val="24"/>
        </w:rPr>
        <w:t xml:space="preserve"> de mamíferos placentarios que se compone de los taxones hermanos </w:t>
      </w:r>
      <w:proofErr w:type="spellStart"/>
      <w:r>
        <w:rPr>
          <w:rFonts w:ascii="Arial" w:eastAsia="Arial" w:hAnsi="Arial" w:cs="Arial"/>
          <w:i/>
          <w:sz w:val="24"/>
          <w:szCs w:val="24"/>
        </w:rPr>
        <w:t>Laurasiatheria</w:t>
      </w:r>
      <w:proofErr w:type="spellEnd"/>
      <w:r>
        <w:rPr>
          <w:rFonts w:ascii="Arial" w:eastAsia="Arial" w:hAnsi="Arial" w:cs="Arial"/>
          <w:sz w:val="24"/>
          <w:szCs w:val="24"/>
        </w:rPr>
        <w:t xml:space="preserve"> y </w:t>
      </w:r>
      <w:proofErr w:type="spellStart"/>
      <w:r>
        <w:rPr>
          <w:rFonts w:ascii="Arial" w:eastAsia="Arial" w:hAnsi="Arial" w:cs="Arial"/>
          <w:i/>
          <w:sz w:val="24"/>
          <w:szCs w:val="24"/>
        </w:rPr>
        <w:t>Euarchontoglires</w:t>
      </w:r>
      <w:proofErr w:type="spellEnd"/>
      <w:r>
        <w:rPr>
          <w:rFonts w:ascii="Arial" w:eastAsia="Arial" w:hAnsi="Arial" w:cs="Arial"/>
          <w:sz w:val="24"/>
          <w:szCs w:val="24"/>
        </w:rPr>
        <w:t xml:space="preserve">. </w:t>
      </w:r>
    </w:p>
    <w:p w:rsidR="000240E8" w:rsidRDefault="001558E2">
      <w:pPr>
        <w:ind w:left="0"/>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6430031" cy="294798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430031" cy="2947988"/>
                    </a:xfrm>
                    <a:prstGeom prst="rect">
                      <a:avLst/>
                    </a:prstGeom>
                    <a:ln/>
                  </pic:spPr>
                </pic:pic>
              </a:graphicData>
            </a:graphic>
          </wp:inline>
        </w:drawing>
      </w:r>
    </w:p>
    <w:p w:rsidR="000240E8" w:rsidRDefault="000240E8">
      <w:pPr>
        <w:ind w:left="0"/>
        <w:rPr>
          <w:rFonts w:ascii="Arial" w:eastAsia="Arial" w:hAnsi="Arial" w:cs="Arial"/>
          <w:sz w:val="24"/>
          <w:szCs w:val="24"/>
        </w:rPr>
      </w:pPr>
    </w:p>
    <w:p w:rsidR="000240E8" w:rsidRDefault="001558E2">
      <w:pPr>
        <w:ind w:left="0"/>
        <w:rPr>
          <w:rFonts w:ascii="Arial" w:eastAsia="Arial" w:hAnsi="Arial" w:cs="Arial"/>
          <w:sz w:val="24"/>
          <w:szCs w:val="24"/>
        </w:rPr>
      </w:pPr>
      <w:r>
        <w:rPr>
          <w:rFonts w:ascii="Arial" w:eastAsia="Arial" w:hAnsi="Arial" w:cs="Arial"/>
          <w:sz w:val="24"/>
          <w:szCs w:val="24"/>
        </w:rPr>
        <w:t xml:space="preserve">Luego, en </w:t>
      </w:r>
      <w:proofErr w:type="spellStart"/>
      <w:r>
        <w:rPr>
          <w:rFonts w:ascii="Arial" w:eastAsia="Arial" w:hAnsi="Arial" w:cs="Arial"/>
          <w:b/>
          <w:sz w:val="24"/>
          <w:szCs w:val="24"/>
        </w:rPr>
        <w:t>Ensembl</w:t>
      </w:r>
      <w:proofErr w:type="spellEnd"/>
      <w:r>
        <w:rPr>
          <w:rFonts w:ascii="Arial" w:eastAsia="Arial" w:hAnsi="Arial" w:cs="Arial"/>
          <w:sz w:val="24"/>
          <w:szCs w:val="24"/>
        </w:rPr>
        <w:t xml:space="preserve"> obtuvimos los siguientes resultados:</w:t>
      </w:r>
    </w:p>
    <w:p w:rsidR="000240E8" w:rsidRDefault="000240E8">
      <w:pPr>
        <w:ind w:left="0"/>
        <w:rPr>
          <w:rFonts w:ascii="Arial" w:eastAsia="Arial" w:hAnsi="Arial" w:cs="Arial"/>
          <w:sz w:val="24"/>
          <w:szCs w:val="24"/>
        </w:rPr>
      </w:pPr>
    </w:p>
    <w:p w:rsidR="000240E8" w:rsidRDefault="001558E2">
      <w:pPr>
        <w:ind w:left="0"/>
        <w:rPr>
          <w:rFonts w:ascii="Arial" w:eastAsia="Arial" w:hAnsi="Arial" w:cs="Arial"/>
          <w:sz w:val="24"/>
          <w:szCs w:val="24"/>
        </w:rPr>
      </w:pPr>
      <w:r>
        <w:rPr>
          <w:rFonts w:ascii="Arial" w:eastAsia="Arial" w:hAnsi="Arial" w:cs="Arial"/>
          <w:noProof/>
          <w:sz w:val="24"/>
          <w:szCs w:val="24"/>
        </w:rPr>
        <w:drawing>
          <wp:inline distT="114300" distB="114300" distL="114300" distR="114300">
            <wp:extent cx="5952530" cy="3614738"/>
            <wp:effectExtent l="12700" t="12700" r="12700" b="127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r="39630" b="18235"/>
                    <a:stretch>
                      <a:fillRect/>
                    </a:stretch>
                  </pic:blipFill>
                  <pic:spPr>
                    <a:xfrm>
                      <a:off x="0" y="0"/>
                      <a:ext cx="5952530" cy="3614738"/>
                    </a:xfrm>
                    <a:prstGeom prst="rect">
                      <a:avLst/>
                    </a:prstGeom>
                    <a:ln w="12700">
                      <a:solidFill>
                        <a:srgbClr val="999999"/>
                      </a:solidFill>
                      <a:prstDash val="solid"/>
                    </a:ln>
                  </pic:spPr>
                </pic:pic>
              </a:graphicData>
            </a:graphic>
          </wp:inline>
        </w:drawing>
      </w:r>
    </w:p>
    <w:p w:rsidR="000240E8" w:rsidRDefault="001558E2">
      <w:pPr>
        <w:ind w:left="0"/>
        <w:rPr>
          <w:rFonts w:ascii="Arial" w:eastAsia="Arial" w:hAnsi="Arial" w:cs="Arial"/>
          <w:sz w:val="24"/>
          <w:szCs w:val="24"/>
        </w:rPr>
      </w:pPr>
      <w:r>
        <w:rPr>
          <w:rFonts w:ascii="Arial" w:eastAsia="Arial" w:hAnsi="Arial" w:cs="Arial"/>
          <w:sz w:val="24"/>
          <w:szCs w:val="24"/>
        </w:rPr>
        <w:t>Aquí se encontró una menor cantidad de genes homólogos, probablemente esta diferencia se deba a que existe una menor cantidad de especies registradas en esta base de datos.</w:t>
      </w:r>
    </w:p>
    <w:p w:rsidR="000240E8" w:rsidRDefault="000240E8">
      <w:pPr>
        <w:ind w:left="0"/>
        <w:rPr>
          <w:rFonts w:ascii="Arial" w:eastAsia="Arial" w:hAnsi="Arial" w:cs="Arial"/>
          <w:sz w:val="24"/>
          <w:szCs w:val="24"/>
        </w:rPr>
      </w:pPr>
    </w:p>
    <w:p w:rsidR="000240E8" w:rsidRDefault="001558E2">
      <w:pPr>
        <w:numPr>
          <w:ilvl w:val="0"/>
          <w:numId w:val="1"/>
        </w:numPr>
        <w:ind w:left="0"/>
        <w:contextualSpacing/>
        <w:jc w:val="both"/>
        <w:rPr>
          <w:rFonts w:ascii="Arial" w:eastAsia="Arial" w:hAnsi="Arial" w:cs="Arial"/>
          <w:sz w:val="24"/>
          <w:szCs w:val="24"/>
        </w:rPr>
      </w:pPr>
      <w:r>
        <w:rPr>
          <w:rFonts w:ascii="Arial" w:eastAsia="Arial" w:hAnsi="Arial" w:cs="Arial"/>
          <w:sz w:val="24"/>
          <w:szCs w:val="24"/>
        </w:rPr>
        <w:t xml:space="preserve">En </w:t>
      </w:r>
      <w:proofErr w:type="spellStart"/>
      <w:r>
        <w:rPr>
          <w:rFonts w:ascii="Arial" w:eastAsia="Arial" w:hAnsi="Arial" w:cs="Arial"/>
          <w:b/>
          <w:sz w:val="24"/>
          <w:szCs w:val="24"/>
        </w:rPr>
        <w:t>Homologene</w:t>
      </w:r>
      <w:proofErr w:type="spellEnd"/>
      <w:r>
        <w:rPr>
          <w:rFonts w:ascii="Arial" w:eastAsia="Arial" w:hAnsi="Arial" w:cs="Arial"/>
          <w:sz w:val="24"/>
          <w:szCs w:val="24"/>
        </w:rPr>
        <w:t xml:space="preserve"> se pudieron encontrar 15 transcritos a través de las diferentes secuencias genómicas.</w:t>
      </w:r>
    </w:p>
    <w:p w:rsidR="000240E8" w:rsidRDefault="001558E2">
      <w:pPr>
        <w:ind w:left="0"/>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5734050" cy="17272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4050" cy="1727200"/>
                    </a:xfrm>
                    <a:prstGeom prst="rect">
                      <a:avLst/>
                    </a:prstGeom>
                    <a:ln/>
                  </pic:spPr>
                </pic:pic>
              </a:graphicData>
            </a:graphic>
          </wp:inline>
        </w:drawing>
      </w:r>
      <w:r>
        <w:rPr>
          <w:rFonts w:ascii="Arial" w:eastAsia="Arial" w:hAnsi="Arial" w:cs="Arial"/>
          <w:sz w:val="24"/>
          <w:szCs w:val="24"/>
        </w:rPr>
        <w:t xml:space="preserve"> </w:t>
      </w:r>
    </w:p>
    <w:p w:rsidR="000240E8" w:rsidRDefault="000240E8">
      <w:pPr>
        <w:ind w:left="0"/>
        <w:jc w:val="both"/>
        <w:rPr>
          <w:rFonts w:ascii="Arial" w:eastAsia="Arial" w:hAnsi="Arial" w:cs="Arial"/>
          <w:sz w:val="24"/>
          <w:szCs w:val="24"/>
        </w:rPr>
      </w:pPr>
    </w:p>
    <w:p w:rsidR="000240E8" w:rsidRDefault="000240E8">
      <w:pPr>
        <w:ind w:left="0"/>
        <w:jc w:val="both"/>
        <w:rPr>
          <w:rFonts w:ascii="Arial" w:eastAsia="Arial" w:hAnsi="Arial" w:cs="Arial"/>
          <w:sz w:val="24"/>
          <w:szCs w:val="24"/>
        </w:rPr>
      </w:pPr>
    </w:p>
    <w:p w:rsidR="000240E8" w:rsidRDefault="001558E2">
      <w:pPr>
        <w:ind w:left="0"/>
        <w:jc w:val="both"/>
        <w:rPr>
          <w:rFonts w:ascii="Arial" w:eastAsia="Arial" w:hAnsi="Arial" w:cs="Arial"/>
          <w:sz w:val="24"/>
          <w:szCs w:val="24"/>
        </w:rPr>
      </w:pPr>
      <w:r>
        <w:rPr>
          <w:rFonts w:ascii="Arial" w:eastAsia="Arial" w:hAnsi="Arial" w:cs="Arial"/>
          <w:sz w:val="24"/>
          <w:szCs w:val="24"/>
        </w:rPr>
        <w:t xml:space="preserve">En </w:t>
      </w:r>
      <w:proofErr w:type="spellStart"/>
      <w:r>
        <w:rPr>
          <w:rFonts w:ascii="Arial" w:eastAsia="Arial" w:hAnsi="Arial" w:cs="Arial"/>
          <w:b/>
          <w:sz w:val="24"/>
          <w:szCs w:val="24"/>
        </w:rPr>
        <w:t>Ensembl</w:t>
      </w:r>
      <w:proofErr w:type="spellEnd"/>
      <w:r>
        <w:rPr>
          <w:rFonts w:ascii="Arial" w:eastAsia="Arial" w:hAnsi="Arial" w:cs="Arial"/>
          <w:sz w:val="24"/>
          <w:szCs w:val="24"/>
        </w:rPr>
        <w:t xml:space="preserve">, por su parte, se pudieron encontrar 7 transcritos con 8 variantes de </w:t>
      </w:r>
      <w:proofErr w:type="spellStart"/>
      <w:r>
        <w:rPr>
          <w:rFonts w:ascii="Arial" w:eastAsia="Arial" w:hAnsi="Arial" w:cs="Arial"/>
          <w:sz w:val="24"/>
          <w:szCs w:val="24"/>
        </w:rPr>
        <w:t>splicing</w:t>
      </w:r>
      <w:proofErr w:type="spellEnd"/>
      <w:r>
        <w:rPr>
          <w:rFonts w:ascii="Arial" w:eastAsia="Arial" w:hAnsi="Arial" w:cs="Arial"/>
          <w:sz w:val="24"/>
          <w:szCs w:val="24"/>
        </w:rPr>
        <w:t xml:space="preserve"> en 4 de ellos. De todos ellos, sólo uno es el que no se expresa. </w:t>
      </w:r>
    </w:p>
    <w:p w:rsidR="000240E8" w:rsidRDefault="001558E2">
      <w:pPr>
        <w:ind w:left="0"/>
        <w:jc w:val="both"/>
        <w:rPr>
          <w:rFonts w:ascii="Arial" w:eastAsia="Arial" w:hAnsi="Arial" w:cs="Arial"/>
          <w:sz w:val="24"/>
          <w:szCs w:val="24"/>
        </w:rPr>
      </w:pPr>
      <w:r>
        <w:rPr>
          <w:rFonts w:ascii="Arial" w:eastAsia="Arial" w:hAnsi="Arial" w:cs="Arial"/>
          <w:noProof/>
          <w:sz w:val="24"/>
          <w:szCs w:val="24"/>
        </w:rPr>
        <w:lastRenderedPageBreak/>
        <w:drawing>
          <wp:inline distT="114300" distB="114300" distL="114300" distR="114300">
            <wp:extent cx="5081588" cy="6259927"/>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081588" cy="6259927"/>
                    </a:xfrm>
                    <a:prstGeom prst="rect">
                      <a:avLst/>
                    </a:prstGeom>
                    <a:ln/>
                  </pic:spPr>
                </pic:pic>
              </a:graphicData>
            </a:graphic>
          </wp:inline>
        </w:drawing>
      </w:r>
    </w:p>
    <w:p w:rsidR="000240E8" w:rsidRDefault="001558E2">
      <w:pPr>
        <w:ind w:left="0"/>
        <w:jc w:val="both"/>
        <w:rPr>
          <w:rFonts w:ascii="Arial" w:eastAsia="Arial" w:hAnsi="Arial" w:cs="Arial"/>
          <w:sz w:val="24"/>
          <w:szCs w:val="24"/>
        </w:rPr>
      </w:pPr>
      <w:r>
        <w:rPr>
          <w:rFonts w:ascii="Arial" w:eastAsia="Arial" w:hAnsi="Arial" w:cs="Arial"/>
          <w:sz w:val="24"/>
          <w:szCs w:val="24"/>
        </w:rPr>
        <w:t xml:space="preserve">Entre </w:t>
      </w:r>
      <w:r>
        <w:rPr>
          <w:rFonts w:ascii="Arial" w:eastAsia="Arial" w:hAnsi="Arial" w:cs="Arial"/>
          <w:sz w:val="24"/>
          <w:szCs w:val="24"/>
        </w:rPr>
        <w:t xml:space="preserve">ambas bases de datos, </w:t>
      </w:r>
      <w:proofErr w:type="spellStart"/>
      <w:r>
        <w:rPr>
          <w:rFonts w:ascii="Arial" w:eastAsia="Arial" w:hAnsi="Arial" w:cs="Arial"/>
          <w:sz w:val="24"/>
          <w:szCs w:val="24"/>
        </w:rPr>
        <w:t>Ensambl</w:t>
      </w:r>
      <w:proofErr w:type="spellEnd"/>
      <w:r>
        <w:rPr>
          <w:rFonts w:ascii="Arial" w:eastAsia="Arial" w:hAnsi="Arial" w:cs="Arial"/>
          <w:sz w:val="24"/>
          <w:szCs w:val="24"/>
        </w:rPr>
        <w:t xml:space="preserve"> se presenta como más precisa en este aspecto, ya que la gran mayoría de las otras bases de datos la utiliza como fuente de referencia. Presenta un mayor detalle y mejor explicado que </w:t>
      </w:r>
      <w:proofErr w:type="spellStart"/>
      <w:r>
        <w:rPr>
          <w:rFonts w:ascii="Arial" w:eastAsia="Arial" w:hAnsi="Arial" w:cs="Arial"/>
          <w:sz w:val="24"/>
          <w:szCs w:val="24"/>
        </w:rPr>
        <w:t>Homologene</w:t>
      </w:r>
      <w:proofErr w:type="spellEnd"/>
      <w:r>
        <w:rPr>
          <w:rFonts w:ascii="Arial" w:eastAsia="Arial" w:hAnsi="Arial" w:cs="Arial"/>
          <w:sz w:val="24"/>
          <w:szCs w:val="24"/>
        </w:rPr>
        <w:t xml:space="preserve">. </w:t>
      </w:r>
    </w:p>
    <w:p w:rsidR="000240E8" w:rsidRDefault="000240E8">
      <w:pPr>
        <w:ind w:left="0"/>
        <w:jc w:val="both"/>
        <w:rPr>
          <w:rFonts w:ascii="Arial" w:eastAsia="Arial" w:hAnsi="Arial" w:cs="Arial"/>
          <w:sz w:val="24"/>
          <w:szCs w:val="24"/>
        </w:rPr>
      </w:pPr>
    </w:p>
    <w:p w:rsidR="000240E8" w:rsidRDefault="001558E2">
      <w:pPr>
        <w:numPr>
          <w:ilvl w:val="0"/>
          <w:numId w:val="1"/>
        </w:numPr>
        <w:ind w:left="0"/>
        <w:contextualSpacing/>
        <w:jc w:val="both"/>
        <w:rPr>
          <w:rFonts w:ascii="Arial" w:eastAsia="Arial" w:hAnsi="Arial" w:cs="Arial"/>
          <w:sz w:val="24"/>
          <w:szCs w:val="24"/>
        </w:rPr>
      </w:pPr>
      <w:r>
        <w:rPr>
          <w:rFonts w:ascii="Arial" w:eastAsia="Arial" w:hAnsi="Arial" w:cs="Arial"/>
          <w:sz w:val="24"/>
          <w:szCs w:val="24"/>
        </w:rPr>
        <w:t>Según NCBI, el producto de es</w:t>
      </w:r>
      <w:r>
        <w:rPr>
          <w:rFonts w:ascii="Arial" w:eastAsia="Arial" w:hAnsi="Arial" w:cs="Arial"/>
          <w:sz w:val="24"/>
          <w:szCs w:val="24"/>
        </w:rPr>
        <w:t>te gen interactúa con 36 otros elementos.</w:t>
      </w:r>
    </w:p>
    <w:p w:rsidR="000240E8" w:rsidRDefault="001558E2">
      <w:pPr>
        <w:ind w:left="0"/>
        <w:jc w:val="both"/>
        <w:rPr>
          <w:rFonts w:ascii="Arial" w:eastAsia="Arial" w:hAnsi="Arial" w:cs="Arial"/>
          <w:sz w:val="24"/>
          <w:szCs w:val="24"/>
        </w:rPr>
      </w:pPr>
      <w:r>
        <w:rPr>
          <w:rFonts w:ascii="Arial" w:eastAsia="Arial" w:hAnsi="Arial" w:cs="Arial"/>
          <w:sz w:val="24"/>
          <w:szCs w:val="24"/>
        </w:rPr>
        <w:t xml:space="preserve">En </w:t>
      </w:r>
      <w:proofErr w:type="spellStart"/>
      <w:r>
        <w:rPr>
          <w:rFonts w:ascii="Arial" w:eastAsia="Arial" w:hAnsi="Arial" w:cs="Arial"/>
          <w:sz w:val="24"/>
          <w:szCs w:val="24"/>
        </w:rPr>
        <w:t>Uniprot</w:t>
      </w:r>
      <w:proofErr w:type="spellEnd"/>
      <w:r>
        <w:rPr>
          <w:rFonts w:ascii="Arial" w:eastAsia="Arial" w:hAnsi="Arial" w:cs="Arial"/>
          <w:sz w:val="24"/>
          <w:szCs w:val="24"/>
        </w:rPr>
        <w:t>, podemos encontrar 34 interacciones.</w:t>
      </w:r>
    </w:p>
    <w:p w:rsidR="000240E8" w:rsidRDefault="001558E2">
      <w:pPr>
        <w:numPr>
          <w:ilvl w:val="0"/>
          <w:numId w:val="1"/>
        </w:numPr>
        <w:ind w:left="0"/>
        <w:contextualSpacing/>
        <w:jc w:val="both"/>
        <w:rPr>
          <w:rFonts w:ascii="Arial" w:eastAsia="Arial" w:hAnsi="Arial" w:cs="Arial"/>
          <w:sz w:val="24"/>
          <w:szCs w:val="24"/>
        </w:rPr>
      </w:pPr>
      <w:r>
        <w:rPr>
          <w:rFonts w:ascii="Arial" w:eastAsia="Arial" w:hAnsi="Arial" w:cs="Arial"/>
          <w:sz w:val="24"/>
          <w:szCs w:val="24"/>
        </w:rPr>
        <w:t xml:space="preserve">Forma parte de </w:t>
      </w:r>
      <w:bookmarkStart w:id="0" w:name="_GoBack"/>
      <w:bookmarkEnd w:id="0"/>
      <w:r>
        <w:rPr>
          <w:rFonts w:ascii="Arial" w:eastAsia="Arial" w:hAnsi="Arial" w:cs="Arial"/>
          <w:sz w:val="24"/>
          <w:szCs w:val="24"/>
        </w:rPr>
        <w:t>la membrana plasmática</w:t>
      </w:r>
      <w:r>
        <w:rPr>
          <w:rFonts w:ascii="Arial" w:eastAsia="Arial" w:hAnsi="Arial" w:cs="Arial"/>
          <w:sz w:val="24"/>
          <w:szCs w:val="24"/>
        </w:rPr>
        <w:t xml:space="preserve"> de las células, y de otras membranas celulares incluyendo la de Golgi. La membrana de Golgi es orgánulo (estructura contenida e</w:t>
      </w:r>
      <w:r>
        <w:rPr>
          <w:rFonts w:ascii="Arial" w:eastAsia="Arial" w:hAnsi="Arial" w:cs="Arial"/>
          <w:sz w:val="24"/>
          <w:szCs w:val="24"/>
        </w:rPr>
        <w:t xml:space="preserve">n el citoplasma) de las células eucariotas. Tiene como función manejar las proteínas sintetizadas por el retículo </w:t>
      </w:r>
      <w:proofErr w:type="spellStart"/>
      <w:r>
        <w:rPr>
          <w:rFonts w:ascii="Arial" w:eastAsia="Arial" w:hAnsi="Arial" w:cs="Arial"/>
          <w:sz w:val="24"/>
          <w:szCs w:val="24"/>
        </w:rPr>
        <w:t>endoplasmático</w:t>
      </w:r>
      <w:proofErr w:type="spellEnd"/>
      <w:r>
        <w:rPr>
          <w:rFonts w:ascii="Arial" w:eastAsia="Arial" w:hAnsi="Arial" w:cs="Arial"/>
          <w:sz w:val="24"/>
          <w:szCs w:val="24"/>
        </w:rPr>
        <w:t xml:space="preserve"> para transformarlas y exportarlas al resto del organismo.</w:t>
      </w:r>
    </w:p>
    <w:p w:rsidR="000240E8" w:rsidRDefault="001558E2">
      <w:pPr>
        <w:ind w:left="0"/>
        <w:jc w:val="both"/>
        <w:rPr>
          <w:rFonts w:ascii="Arial" w:eastAsia="Arial" w:hAnsi="Arial" w:cs="Arial"/>
          <w:sz w:val="24"/>
          <w:szCs w:val="24"/>
        </w:rPr>
      </w:pPr>
      <w:r>
        <w:rPr>
          <w:rFonts w:ascii="Arial" w:eastAsia="Arial" w:hAnsi="Arial" w:cs="Arial"/>
          <w:sz w:val="24"/>
          <w:szCs w:val="24"/>
        </w:rPr>
        <w:t>Los procesos que lleva a cabo la proteína son el procesamiento de ant</w:t>
      </w:r>
      <w:r>
        <w:rPr>
          <w:rFonts w:ascii="Arial" w:eastAsia="Arial" w:hAnsi="Arial" w:cs="Arial"/>
          <w:sz w:val="24"/>
          <w:szCs w:val="24"/>
        </w:rPr>
        <w:t>ígenos y receptor de señales de células T.</w:t>
      </w:r>
    </w:p>
    <w:p w:rsidR="000240E8" w:rsidRDefault="001558E2">
      <w:pPr>
        <w:ind w:left="0"/>
        <w:jc w:val="both"/>
        <w:rPr>
          <w:rFonts w:ascii="Arial" w:eastAsia="Arial" w:hAnsi="Arial" w:cs="Arial"/>
          <w:sz w:val="24"/>
          <w:szCs w:val="24"/>
        </w:rPr>
      </w:pPr>
      <w:r>
        <w:rPr>
          <w:rFonts w:ascii="Arial" w:eastAsia="Arial" w:hAnsi="Arial" w:cs="Arial"/>
          <w:sz w:val="24"/>
          <w:szCs w:val="24"/>
        </w:rPr>
        <w:lastRenderedPageBreak/>
        <w:t>Dentro de la célula, tiene la función de combinarse con el complejo de proteínas MHC clase 2 y transmitir la señal de un lado de la membrana al otro para iniciar un cambio en la actividad celular.</w:t>
      </w:r>
    </w:p>
    <w:p w:rsidR="000240E8" w:rsidRDefault="001558E2">
      <w:pPr>
        <w:numPr>
          <w:ilvl w:val="0"/>
          <w:numId w:val="1"/>
        </w:numPr>
        <w:ind w:left="0"/>
        <w:contextualSpacing/>
        <w:jc w:val="both"/>
        <w:rPr>
          <w:rFonts w:ascii="Arial" w:eastAsia="Arial" w:hAnsi="Arial" w:cs="Arial"/>
          <w:sz w:val="24"/>
          <w:szCs w:val="24"/>
        </w:rPr>
      </w:pPr>
      <w:r>
        <w:rPr>
          <w:rFonts w:ascii="Arial" w:eastAsia="Arial" w:hAnsi="Arial" w:cs="Arial"/>
          <w:sz w:val="24"/>
          <w:szCs w:val="24"/>
        </w:rPr>
        <w:t>Según KEGG, el g</w:t>
      </w:r>
      <w:r>
        <w:rPr>
          <w:rFonts w:ascii="Arial" w:eastAsia="Arial" w:hAnsi="Arial" w:cs="Arial"/>
          <w:sz w:val="24"/>
          <w:szCs w:val="24"/>
        </w:rPr>
        <w:t xml:space="preserve">en participa en 24 </w:t>
      </w:r>
      <w:proofErr w:type="spellStart"/>
      <w:r>
        <w:rPr>
          <w:rFonts w:ascii="Arial" w:eastAsia="Arial" w:hAnsi="Arial" w:cs="Arial"/>
          <w:sz w:val="24"/>
          <w:szCs w:val="24"/>
        </w:rPr>
        <w:t>pathways</w:t>
      </w:r>
      <w:proofErr w:type="spellEnd"/>
      <w:r>
        <w:rPr>
          <w:rFonts w:ascii="Arial" w:eastAsia="Arial" w:hAnsi="Arial" w:cs="Arial"/>
          <w:sz w:val="24"/>
          <w:szCs w:val="24"/>
        </w:rPr>
        <w:t>.</w:t>
      </w:r>
    </w:p>
    <w:p w:rsidR="000240E8" w:rsidRDefault="001558E2">
      <w:pPr>
        <w:ind w:left="0"/>
        <w:jc w:val="both"/>
        <w:rPr>
          <w:rFonts w:ascii="Arial" w:eastAsia="Arial" w:hAnsi="Arial" w:cs="Arial"/>
          <w:sz w:val="24"/>
          <w:szCs w:val="24"/>
        </w:rPr>
      </w:pPr>
      <w:r>
        <w:rPr>
          <w:rFonts w:ascii="Arial" w:eastAsia="Arial" w:hAnsi="Arial" w:cs="Arial"/>
          <w:sz w:val="24"/>
          <w:szCs w:val="24"/>
        </w:rPr>
        <w:t>Algunos de ellos son:</w:t>
      </w:r>
    </w:p>
    <w:p w:rsidR="000240E8" w:rsidRDefault="001558E2">
      <w:pPr>
        <w:ind w:left="0"/>
        <w:jc w:val="both"/>
        <w:rPr>
          <w:rFonts w:ascii="Arial" w:eastAsia="Arial" w:hAnsi="Arial" w:cs="Arial"/>
          <w:sz w:val="24"/>
          <w:szCs w:val="24"/>
        </w:rPr>
      </w:pPr>
      <w:hyperlink r:id="rId11">
        <w:r>
          <w:rPr>
            <w:rFonts w:ascii="Arial" w:eastAsia="Arial" w:hAnsi="Arial" w:cs="Arial"/>
            <w:color w:val="1155CC"/>
            <w:sz w:val="24"/>
            <w:szCs w:val="24"/>
            <w:u w:val="single"/>
          </w:rPr>
          <w:t>hsa04514</w:t>
        </w:r>
      </w:hyperlink>
      <w:r>
        <w:rPr>
          <w:rFonts w:ascii="Arial" w:eastAsia="Arial" w:hAnsi="Arial" w:cs="Arial"/>
          <w:sz w:val="24"/>
          <w:szCs w:val="24"/>
        </w:rPr>
        <w:t xml:space="preserve">  </w:t>
      </w:r>
      <w:proofErr w:type="spellStart"/>
      <w:r>
        <w:rPr>
          <w:rFonts w:ascii="Arial" w:eastAsia="Arial" w:hAnsi="Arial" w:cs="Arial"/>
          <w:sz w:val="24"/>
          <w:szCs w:val="24"/>
        </w:rPr>
        <w:t>Cell</w:t>
      </w:r>
      <w:proofErr w:type="spellEnd"/>
      <w:r>
        <w:rPr>
          <w:rFonts w:ascii="Arial" w:eastAsia="Arial" w:hAnsi="Arial" w:cs="Arial"/>
          <w:sz w:val="24"/>
          <w:szCs w:val="24"/>
        </w:rPr>
        <w:t xml:space="preserve"> </w:t>
      </w:r>
      <w:proofErr w:type="spellStart"/>
      <w:r>
        <w:rPr>
          <w:rFonts w:ascii="Arial" w:eastAsia="Arial" w:hAnsi="Arial" w:cs="Arial"/>
          <w:sz w:val="24"/>
          <w:szCs w:val="24"/>
        </w:rPr>
        <w:t>adhesion</w:t>
      </w:r>
      <w:proofErr w:type="spellEnd"/>
      <w:r>
        <w:rPr>
          <w:rFonts w:ascii="Arial" w:eastAsia="Arial" w:hAnsi="Arial" w:cs="Arial"/>
          <w:sz w:val="24"/>
          <w:szCs w:val="24"/>
        </w:rPr>
        <w:t xml:space="preserve"> </w:t>
      </w:r>
      <w:proofErr w:type="spellStart"/>
      <w:r>
        <w:rPr>
          <w:rFonts w:ascii="Arial" w:eastAsia="Arial" w:hAnsi="Arial" w:cs="Arial"/>
          <w:sz w:val="24"/>
          <w:szCs w:val="24"/>
        </w:rPr>
        <w:t>molecules</w:t>
      </w:r>
      <w:proofErr w:type="spellEnd"/>
      <w:r>
        <w:rPr>
          <w:rFonts w:ascii="Arial" w:eastAsia="Arial" w:hAnsi="Arial" w:cs="Arial"/>
          <w:sz w:val="24"/>
          <w:szCs w:val="24"/>
        </w:rPr>
        <w:t xml:space="preserve"> (</w:t>
      </w:r>
      <w:proofErr w:type="spellStart"/>
      <w:r>
        <w:rPr>
          <w:rFonts w:ascii="Arial" w:eastAsia="Arial" w:hAnsi="Arial" w:cs="Arial"/>
          <w:sz w:val="24"/>
          <w:szCs w:val="24"/>
        </w:rPr>
        <w:t>CAMs</w:t>
      </w:r>
      <w:proofErr w:type="spellEnd"/>
      <w:r>
        <w:rPr>
          <w:rFonts w:ascii="Arial" w:eastAsia="Arial" w:hAnsi="Arial" w:cs="Arial"/>
          <w:sz w:val="24"/>
          <w:szCs w:val="24"/>
        </w:rPr>
        <w:t>)</w:t>
      </w:r>
    </w:p>
    <w:p w:rsidR="000240E8" w:rsidRDefault="001558E2">
      <w:pPr>
        <w:ind w:left="0"/>
        <w:jc w:val="both"/>
        <w:rPr>
          <w:rFonts w:ascii="Arial" w:eastAsia="Arial" w:hAnsi="Arial" w:cs="Arial"/>
          <w:sz w:val="24"/>
          <w:szCs w:val="24"/>
        </w:rPr>
      </w:pPr>
      <w:hyperlink r:id="rId12">
        <w:r>
          <w:rPr>
            <w:rFonts w:ascii="Arial" w:eastAsia="Arial" w:hAnsi="Arial" w:cs="Arial"/>
            <w:color w:val="1155CC"/>
            <w:sz w:val="24"/>
            <w:szCs w:val="24"/>
            <w:u w:val="single"/>
          </w:rPr>
          <w:t>hsa04640</w:t>
        </w:r>
      </w:hyperlink>
      <w:r>
        <w:rPr>
          <w:rFonts w:ascii="Arial" w:eastAsia="Arial" w:hAnsi="Arial" w:cs="Arial"/>
          <w:sz w:val="24"/>
          <w:szCs w:val="24"/>
        </w:rPr>
        <w:t xml:space="preserve">  </w:t>
      </w:r>
      <w:proofErr w:type="spellStart"/>
      <w:r>
        <w:rPr>
          <w:rFonts w:ascii="Arial" w:eastAsia="Arial" w:hAnsi="Arial" w:cs="Arial"/>
          <w:sz w:val="24"/>
          <w:szCs w:val="24"/>
        </w:rPr>
        <w:t>Hematopoietic</w:t>
      </w:r>
      <w:proofErr w:type="spellEnd"/>
      <w:r>
        <w:rPr>
          <w:rFonts w:ascii="Arial" w:eastAsia="Arial" w:hAnsi="Arial" w:cs="Arial"/>
          <w:sz w:val="24"/>
          <w:szCs w:val="24"/>
        </w:rPr>
        <w:t xml:space="preserve"> </w:t>
      </w:r>
      <w:proofErr w:type="spellStart"/>
      <w:r>
        <w:rPr>
          <w:rFonts w:ascii="Arial" w:eastAsia="Arial" w:hAnsi="Arial" w:cs="Arial"/>
          <w:sz w:val="24"/>
          <w:szCs w:val="24"/>
        </w:rPr>
        <w:t>cell</w:t>
      </w:r>
      <w:proofErr w:type="spellEnd"/>
      <w:r>
        <w:rPr>
          <w:rFonts w:ascii="Arial" w:eastAsia="Arial" w:hAnsi="Arial" w:cs="Arial"/>
          <w:sz w:val="24"/>
          <w:szCs w:val="24"/>
        </w:rPr>
        <w:t xml:space="preserve"> </w:t>
      </w:r>
      <w:proofErr w:type="spellStart"/>
      <w:r>
        <w:rPr>
          <w:rFonts w:ascii="Arial" w:eastAsia="Arial" w:hAnsi="Arial" w:cs="Arial"/>
          <w:sz w:val="24"/>
          <w:szCs w:val="24"/>
        </w:rPr>
        <w:t>lineage</w:t>
      </w:r>
      <w:proofErr w:type="spellEnd"/>
    </w:p>
    <w:p w:rsidR="000240E8" w:rsidRDefault="001558E2">
      <w:pPr>
        <w:widowControl w:val="0"/>
        <w:spacing w:line="276" w:lineRule="auto"/>
        <w:ind w:left="0"/>
        <w:rPr>
          <w:rFonts w:ascii="Arial" w:eastAsia="Arial" w:hAnsi="Arial" w:cs="Arial"/>
          <w:sz w:val="24"/>
          <w:szCs w:val="24"/>
        </w:rPr>
      </w:pPr>
      <w:hyperlink r:id="rId13">
        <w:r>
          <w:rPr>
            <w:rFonts w:ascii="Arial" w:eastAsia="Arial" w:hAnsi="Arial" w:cs="Arial"/>
            <w:color w:val="1155CC"/>
            <w:sz w:val="24"/>
            <w:szCs w:val="24"/>
            <w:u w:val="single"/>
          </w:rPr>
          <w:t>hsa04612</w:t>
        </w:r>
      </w:hyperlink>
      <w:r>
        <w:rPr>
          <w:rFonts w:ascii="Arial" w:eastAsia="Arial" w:hAnsi="Arial" w:cs="Arial"/>
          <w:sz w:val="24"/>
          <w:szCs w:val="24"/>
        </w:rPr>
        <w:t xml:space="preserve"> </w:t>
      </w:r>
      <w:proofErr w:type="spellStart"/>
      <w:r>
        <w:rPr>
          <w:rFonts w:ascii="Arial" w:eastAsia="Arial" w:hAnsi="Arial" w:cs="Arial"/>
          <w:sz w:val="24"/>
          <w:szCs w:val="24"/>
        </w:rPr>
        <w:t>Antigen</w:t>
      </w:r>
      <w:proofErr w:type="spellEnd"/>
      <w:r>
        <w:rPr>
          <w:rFonts w:ascii="Arial" w:eastAsia="Arial" w:hAnsi="Arial" w:cs="Arial"/>
          <w:sz w:val="24"/>
          <w:szCs w:val="24"/>
        </w:rPr>
        <w:t xml:space="preserve"> </w:t>
      </w:r>
      <w:proofErr w:type="spellStart"/>
      <w:r>
        <w:rPr>
          <w:rFonts w:ascii="Arial" w:eastAsia="Arial" w:hAnsi="Arial" w:cs="Arial"/>
          <w:sz w:val="24"/>
          <w:szCs w:val="24"/>
        </w:rPr>
        <w:t>processing</w:t>
      </w:r>
      <w:proofErr w:type="spellEnd"/>
      <w:r>
        <w:rPr>
          <w:rFonts w:ascii="Arial" w:eastAsia="Arial" w:hAnsi="Arial" w:cs="Arial"/>
          <w:sz w:val="24"/>
          <w:szCs w:val="24"/>
        </w:rPr>
        <w:t xml:space="preserve"> and </w:t>
      </w:r>
      <w:proofErr w:type="spellStart"/>
      <w:r>
        <w:rPr>
          <w:rFonts w:ascii="Arial" w:eastAsia="Arial" w:hAnsi="Arial" w:cs="Arial"/>
          <w:sz w:val="24"/>
          <w:szCs w:val="24"/>
        </w:rPr>
        <w:t>presentation</w:t>
      </w:r>
      <w:proofErr w:type="spellEnd"/>
    </w:p>
    <w:p w:rsidR="000240E8" w:rsidRDefault="000240E8">
      <w:pPr>
        <w:widowControl w:val="0"/>
        <w:spacing w:line="276" w:lineRule="auto"/>
        <w:ind w:left="0"/>
        <w:rPr>
          <w:rFonts w:ascii="Arial" w:eastAsia="Arial" w:hAnsi="Arial" w:cs="Arial"/>
          <w:sz w:val="24"/>
          <w:szCs w:val="24"/>
        </w:rPr>
      </w:pPr>
    </w:p>
    <w:p w:rsidR="000240E8" w:rsidRDefault="001558E2">
      <w:pPr>
        <w:widowControl w:val="0"/>
        <w:spacing w:line="276" w:lineRule="auto"/>
        <w:ind w:left="0"/>
        <w:rPr>
          <w:rFonts w:ascii="Arial" w:eastAsia="Arial" w:hAnsi="Arial" w:cs="Arial"/>
          <w:sz w:val="24"/>
          <w:szCs w:val="24"/>
        </w:rPr>
      </w:pPr>
      <w:r>
        <w:rPr>
          <w:rFonts w:ascii="Arial" w:eastAsia="Arial" w:hAnsi="Arial" w:cs="Arial"/>
          <w:sz w:val="24"/>
          <w:szCs w:val="24"/>
        </w:rPr>
        <w:t xml:space="preserve">Se puede destacar que la mayoría de los </w:t>
      </w:r>
      <w:proofErr w:type="spellStart"/>
      <w:r>
        <w:rPr>
          <w:rFonts w:ascii="Arial" w:eastAsia="Arial" w:hAnsi="Arial" w:cs="Arial"/>
          <w:sz w:val="24"/>
          <w:szCs w:val="24"/>
        </w:rPr>
        <w:t>pathways</w:t>
      </w:r>
      <w:proofErr w:type="spellEnd"/>
      <w:r>
        <w:rPr>
          <w:rFonts w:ascii="Arial" w:eastAsia="Arial" w:hAnsi="Arial" w:cs="Arial"/>
          <w:sz w:val="24"/>
          <w:szCs w:val="24"/>
        </w:rPr>
        <w:t xml:space="preserve"> pertenecen a interacciones dentro del sistema inmunológico. </w:t>
      </w:r>
    </w:p>
    <w:p w:rsidR="000240E8" w:rsidRDefault="000240E8">
      <w:pPr>
        <w:widowControl w:val="0"/>
        <w:spacing w:line="276" w:lineRule="auto"/>
        <w:ind w:left="0"/>
        <w:rPr>
          <w:rFonts w:ascii="Arial" w:eastAsia="Arial" w:hAnsi="Arial" w:cs="Arial"/>
          <w:sz w:val="24"/>
          <w:szCs w:val="24"/>
        </w:rPr>
      </w:pPr>
    </w:p>
    <w:p w:rsidR="000240E8" w:rsidRDefault="001558E2">
      <w:pPr>
        <w:numPr>
          <w:ilvl w:val="0"/>
          <w:numId w:val="1"/>
        </w:numPr>
        <w:ind w:left="0"/>
        <w:contextualSpacing/>
        <w:jc w:val="both"/>
        <w:rPr>
          <w:rFonts w:ascii="Arial" w:eastAsia="Arial" w:hAnsi="Arial" w:cs="Arial"/>
          <w:sz w:val="24"/>
          <w:szCs w:val="24"/>
        </w:rPr>
      </w:pPr>
      <w:r>
        <w:rPr>
          <w:rFonts w:ascii="Arial" w:eastAsia="Arial" w:hAnsi="Arial" w:cs="Arial"/>
          <w:sz w:val="24"/>
          <w:szCs w:val="24"/>
        </w:rPr>
        <w:t>Una de las posibles variaciones es la rs1048052. Esta es una variación de un único nucleótido. No se reportó sobre el significado clínico de esta variación. Esta variación es bastante más común en las personas del continente americano que en el resto del m</w:t>
      </w:r>
      <w:r>
        <w:rPr>
          <w:rFonts w:ascii="Arial" w:eastAsia="Arial" w:hAnsi="Arial" w:cs="Arial"/>
          <w:sz w:val="24"/>
          <w:szCs w:val="24"/>
        </w:rPr>
        <w:t>undo.</w:t>
      </w:r>
    </w:p>
    <w:p w:rsidR="000240E8" w:rsidRDefault="000240E8">
      <w:pPr>
        <w:ind w:left="0"/>
      </w:pPr>
    </w:p>
    <w:p w:rsidR="000240E8" w:rsidRDefault="000240E8">
      <w:pPr>
        <w:ind w:left="0"/>
      </w:pPr>
    </w:p>
    <w:sectPr w:rsidR="000240E8">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Ubuntu">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A44188"/>
    <w:multiLevelType w:val="multilevel"/>
    <w:tmpl w:val="85DA918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7742AFE"/>
    <w:multiLevelType w:val="multilevel"/>
    <w:tmpl w:val="1BE21E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240E8"/>
    <w:rsid w:val="000240E8"/>
    <w:rsid w:val="001558E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193FDF-8379-433B-813A-2AC9EB241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Ubuntu" w:eastAsia="Ubuntu" w:hAnsi="Ubuntu" w:cs="Ubuntu"/>
        <w:sz w:val="22"/>
        <w:szCs w:val="22"/>
        <w:lang w:val="es-AR" w:eastAsia="es-AR" w:bidi="ar-SA"/>
      </w:rPr>
    </w:rPrDefault>
    <w:pPrDefault>
      <w:pPr>
        <w:ind w:left="-3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ind w:left="720" w:hanging="360"/>
      <w:contextualSpacing/>
      <w:outlineLvl w:val="1"/>
    </w:pPr>
    <w:rPr>
      <w:b/>
      <w:sz w:val="28"/>
      <w:szCs w:val="28"/>
      <w:u w:val="single"/>
    </w:rPr>
  </w:style>
  <w:style w:type="paragraph" w:styleId="Ttulo3">
    <w:name w:val="heading 3"/>
    <w:basedOn w:val="Normal"/>
    <w:next w:val="Normal"/>
    <w:pPr>
      <w:keepNext/>
      <w:keepLines/>
      <w:ind w:left="720"/>
      <w:contextualSpacing/>
      <w:outlineLvl w:val="2"/>
    </w:pPr>
    <w:rPr>
      <w:b/>
      <w:sz w:val="24"/>
      <w:szCs w:val="24"/>
      <w:u w:val="single"/>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ind w:left="0"/>
      <w:outlineLvl w:val="5"/>
    </w:pPr>
    <w:rPr>
      <w:i/>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enome.jp/kegg-bin/show_pathway?hsa04612+3117"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nome.jp/kegg-bin/show_pathway?hsa04640+311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nome.jp/kegg-bin/show_pathway?hsa04514+3117" TargetMode="External"/><Relationship Id="rId5" Type="http://schemas.openxmlformats.org/officeDocument/2006/relationships/hyperlink" Target="https://www.ncbi.nlm.nih.gov/gene/3117"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666</Words>
  <Characters>3665</Characters>
  <Application>Microsoft Office Word</Application>
  <DocSecurity>0</DocSecurity>
  <Lines>30</Lines>
  <Paragraphs>8</Paragraphs>
  <ScaleCrop>false</ScaleCrop>
  <Company/>
  <LinksUpToDate>false</LinksUpToDate>
  <CharactersWithSpaces>4323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Casa</cp:lastModifiedBy>
  <cp:revision>2</cp:revision>
  <dcterms:created xsi:type="dcterms:W3CDTF">2018-12-03T18:17:00Z</dcterms:created>
  <dcterms:modified xsi:type="dcterms:W3CDTF">2018-12-03T18:17:00Z</dcterms:modified>
</cp:coreProperties>
</file>