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1"/>
        <w:spacing w:line="276" w:lineRule="auto"/>
        <w:ind w:left="0" w:firstLine="0"/>
        <w:rPr>
          <w:rFonts w:ascii="Arial" w:cs="Arial" w:eastAsia="Arial" w:hAnsi="Arial"/>
          <w:b w:val="0"/>
          <w:color w:val="000000"/>
          <w:sz w:val="24"/>
          <w:szCs w:val="24"/>
        </w:rPr>
      </w:pPr>
      <w:bookmarkStart w:colFirst="0" w:colLast="0" w:name="_ugt5g9ov7ziw"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-552449</wp:posOffset>
            </wp:positionH>
            <wp:positionV relativeFrom="paragraph">
              <wp:posOffset>0</wp:posOffset>
            </wp:positionV>
            <wp:extent cx="2049210" cy="1052513"/>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49210" cy="1052513"/>
                    </a:xfrm>
                    <a:prstGeom prst="rect"/>
                    <a:ln/>
                  </pic:spPr>
                </pic:pic>
              </a:graphicData>
            </a:graphic>
          </wp:anchor>
        </w:drawing>
      </w:r>
    </w:p>
    <w:p w:rsidR="00000000" w:rsidDel="00000000" w:rsidP="00000000" w:rsidRDefault="00000000" w:rsidRPr="00000000" w14:paraId="00000002">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TÉRMINOS Y CONDICIONES</w:t>
      </w:r>
    </w:p>
    <w:p w:rsidR="00000000" w:rsidDel="00000000" w:rsidP="00000000" w:rsidRDefault="00000000" w:rsidRPr="00000000" w14:paraId="00000003">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Orientación veterinaria telefónica 24/7.</w:t>
      </w:r>
    </w:p>
    <w:p w:rsidR="00000000" w:rsidDel="00000000" w:rsidP="00000000" w:rsidRDefault="00000000" w:rsidRPr="00000000" w14:paraId="00000004">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Se proporcionará a través del Centro de Atención Telefónica y aplica únicamente para consultas básicas que no requieran diagnóstico. En caso de que el Usuario tenga cualquier consulta veterinaria referente a molestias, dolores o síntomas de malestar de su mascota, se realizará un enlace telefónico con un profesional del área, quien le prestará asesoría preliminar y/o indicaciones médico-veterinarias de primera necesidad.</w:t>
      </w:r>
    </w:p>
    <w:p w:rsidR="00000000" w:rsidDel="00000000" w:rsidP="00000000" w:rsidRDefault="00000000" w:rsidRPr="00000000" w14:paraId="00000005">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Consulta telefónica veterinaria sobre manejo de alimentación, vacunas, información de medicamentos. Los veterinarios no brindarán recomendación de medicamentos, lo anterior debido a que el diagnóstico de enfermedades y receta de medicamentos está sujeto a la evaluación física de la mascota.</w:t>
      </w:r>
    </w:p>
    <w:p w:rsidR="00000000" w:rsidDel="00000000" w:rsidP="00000000" w:rsidRDefault="00000000" w:rsidRPr="00000000" w14:paraId="00000006">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Este servicio es sin límite de eventos y se proporcionará las 24hrs del día, los 365 días del año.</w:t>
      </w:r>
    </w:p>
    <w:p w:rsidR="00000000" w:rsidDel="00000000" w:rsidP="00000000" w:rsidRDefault="00000000" w:rsidRPr="00000000" w14:paraId="00000007">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08">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Referencias y descuentos en veterinarias</w:t>
      </w:r>
    </w:p>
    <w:p w:rsidR="00000000" w:rsidDel="00000000" w:rsidP="00000000" w:rsidRDefault="00000000" w:rsidRPr="00000000" w14:paraId="00000009">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Se concertará una cita con el veterinario, clínica, estética u otro establecimiento previa solicitud del Usuario y con cargo a éste. Se coordinará la atención requerida y dará seguimiento con el Usuario y el proveedor del servicio, desde el momento en que se concreta la cita, hasta el momento en que concluye el servicio.</w:t>
      </w:r>
    </w:p>
    <w:p w:rsidR="00000000" w:rsidDel="00000000" w:rsidP="00000000" w:rsidRDefault="00000000" w:rsidRPr="00000000" w14:paraId="0000000A">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Se proporcionarán referencias de servicios como:</w:t>
      </w:r>
    </w:p>
    <w:p w:rsidR="00000000" w:rsidDel="00000000" w:rsidP="00000000" w:rsidRDefault="00000000" w:rsidRPr="00000000" w14:paraId="0000000B">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Hospitales y clínicas veterinarias</w:t>
      </w:r>
    </w:p>
    <w:p w:rsidR="00000000" w:rsidDel="00000000" w:rsidP="00000000" w:rsidRDefault="00000000" w:rsidRPr="00000000" w14:paraId="0000000C">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Campañas de Vacunación</w:t>
      </w:r>
    </w:p>
    <w:p w:rsidR="00000000" w:rsidDel="00000000" w:rsidP="00000000" w:rsidRDefault="00000000" w:rsidRPr="00000000" w14:paraId="0000000D">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Exposiciones y Ferias</w:t>
      </w:r>
    </w:p>
    <w:p w:rsidR="00000000" w:rsidDel="00000000" w:rsidP="00000000" w:rsidRDefault="00000000" w:rsidRPr="00000000" w14:paraId="0000000E">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Información sobre Venta de Accesorios y Alimento.</w:t>
      </w:r>
    </w:p>
    <w:p w:rsidR="00000000" w:rsidDel="00000000" w:rsidP="00000000" w:rsidRDefault="00000000" w:rsidRPr="00000000" w14:paraId="0000000F">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Información de Restaurantes y Hoteles” Pet Friendly”</w:t>
      </w:r>
    </w:p>
    <w:p w:rsidR="00000000" w:rsidDel="00000000" w:rsidP="00000000" w:rsidRDefault="00000000" w:rsidRPr="00000000" w14:paraId="00000010">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Este servicio es sin límite de eventos y se proporcionará las 24hrs del día, los 365 días del año.</w:t>
      </w:r>
    </w:p>
    <w:p w:rsidR="00000000" w:rsidDel="00000000" w:rsidP="00000000" w:rsidRDefault="00000000" w:rsidRPr="00000000" w14:paraId="00000011">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Consulta veterinaria por enfermedad o accidente.</w:t>
      </w:r>
    </w:p>
    <w:p w:rsidR="00000000" w:rsidDel="00000000" w:rsidP="00000000" w:rsidRDefault="00000000" w:rsidRPr="00000000" w14:paraId="00000012">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El dueño y/o propietario de la mascota podrá solicitar una consulta por accidente en la clínica veterinaria de nuestra red más cercana al domicilio o lugar de preferencia del dueño y/o propietario de la mascota. Se coordinará el servicio y dará seguimiento con el dueño y/o propietario y el proveedor del mismo, desde el momento en que se solicite, hasta el momento en que concluya.</w:t>
      </w:r>
    </w:p>
    <w:p w:rsidR="00000000" w:rsidDel="00000000" w:rsidP="00000000" w:rsidRDefault="00000000" w:rsidRPr="00000000" w14:paraId="00000013">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Petycard cubrirá mediante pago directo o reembolso un importe hasta $500.00 (QUINIENTOS PESOS 00/100 M.N.), un evento por vigencia.</w:t>
      </w:r>
    </w:p>
    <w:p w:rsidR="00000000" w:rsidDel="00000000" w:rsidP="00000000" w:rsidRDefault="00000000" w:rsidRPr="00000000" w14:paraId="00000014">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15">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Asistencia funeraria en caso de enfermedad o accidente.</w:t>
      </w:r>
    </w:p>
    <w:p w:rsidR="00000000" w:rsidDel="00000000" w:rsidP="00000000" w:rsidRDefault="00000000" w:rsidRPr="00000000" w14:paraId="00000016">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En caso de fallecimiento de la mascota descrita en el registro a causa de un accidente, PETYCARD cubrirá los gastos funerarios de la misma, hasta por un importe de $2,500.00 M.N. (DOS MIL QUINIENTOS PESOS 00/100 M.N.) IVA incluido.</w:t>
      </w:r>
    </w:p>
    <w:p w:rsidR="00000000" w:rsidDel="00000000" w:rsidP="00000000" w:rsidRDefault="00000000" w:rsidRPr="00000000" w14:paraId="00000017">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Para ejercer la cobertura de gastos funerarios, el Asegurado de la póliza debe cumplir con los siguientes requisitos y documentación ante PETYCARD:</w:t>
      </w:r>
    </w:p>
    <w:p w:rsidR="00000000" w:rsidDel="00000000" w:rsidP="00000000" w:rsidRDefault="00000000" w:rsidRPr="00000000" w14:paraId="00000018">
      <w:pPr>
        <w:keepLines w:val="1"/>
        <w:shd w:fill="ffffff" w:val="clear"/>
        <w:spacing w:before="24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Adquirir la cobertura de Gastos Funerarios, de acuerdo al tipo de plan que contrate.</w:t>
      </w:r>
    </w:p>
    <w:p w:rsidR="00000000" w:rsidDel="00000000" w:rsidP="00000000" w:rsidRDefault="00000000" w:rsidRPr="00000000" w14:paraId="00000019">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Certificado de fallecimiento firmado por médico, mismo que debe coincidir con la información establecida en el registro inicial. Lo anterior, para confrontar y corroborar los datos de la mascota que fue descrita mediante el formato de alta y solicitud de cobertura.</w:t>
      </w:r>
    </w:p>
    <w:p w:rsidR="00000000" w:rsidDel="00000000" w:rsidP="00000000" w:rsidRDefault="00000000" w:rsidRPr="00000000" w14:paraId="0000001A">
      <w:pPr>
        <w:keepLines w:val="1"/>
        <w:shd w:fill="ffffff" w:val="clear"/>
        <w:spacing w:after="240"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En caso de mascotas de raza con pedigree registrado, copia de dicho documento.</w:t>
      </w:r>
    </w:p>
    <w:p w:rsidR="00000000" w:rsidDel="00000000" w:rsidP="00000000" w:rsidRDefault="00000000" w:rsidRPr="00000000" w14:paraId="0000001B">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Esta cobertura está sub limitada a la suma asegurada contratada; aplica hasta el importe señalado anteriormente, siempre que haya suma asegurada disponible al momento del siniestro.</w:t>
      </w:r>
    </w:p>
    <w:p w:rsidR="00000000" w:rsidDel="00000000" w:rsidP="00000000" w:rsidRDefault="00000000" w:rsidRPr="00000000" w14:paraId="0000001C">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1D">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Será procedente la muerte accidental en los siguientes casos:</w:t>
      </w:r>
    </w:p>
    <w:p w:rsidR="00000000" w:rsidDel="00000000" w:rsidP="00000000" w:rsidRDefault="00000000" w:rsidRPr="00000000" w14:paraId="0000001E">
      <w:pPr>
        <w:keepLines w:val="1"/>
        <w:shd w:fill="ffffff" w:val="clear"/>
        <w:spacing w:before="24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Atropellamiento</w:t>
      </w:r>
    </w:p>
    <w:p w:rsidR="00000000" w:rsidDel="00000000" w:rsidP="00000000" w:rsidRDefault="00000000" w:rsidRPr="00000000" w14:paraId="0000001F">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Traumatismos o lesiones sufridos por accidentes</w:t>
      </w:r>
    </w:p>
    <w:p w:rsidR="00000000" w:rsidDel="00000000" w:rsidP="00000000" w:rsidRDefault="00000000" w:rsidRPr="00000000" w14:paraId="00000020">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Caídas</w:t>
      </w:r>
    </w:p>
    <w:p w:rsidR="00000000" w:rsidDel="00000000" w:rsidP="00000000" w:rsidRDefault="00000000" w:rsidRPr="00000000" w14:paraId="00000021">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Ingestión de cuerpos extraños</w:t>
      </w:r>
    </w:p>
    <w:p w:rsidR="00000000" w:rsidDel="00000000" w:rsidP="00000000" w:rsidRDefault="00000000" w:rsidRPr="00000000" w14:paraId="00000022">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Golpe de calor</w:t>
      </w:r>
    </w:p>
    <w:p w:rsidR="00000000" w:rsidDel="00000000" w:rsidP="00000000" w:rsidRDefault="00000000" w:rsidRPr="00000000" w14:paraId="00000023">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Por ataques de otras mascotas o animales</w:t>
      </w:r>
    </w:p>
    <w:p w:rsidR="00000000" w:rsidDel="00000000" w:rsidP="00000000" w:rsidRDefault="00000000" w:rsidRPr="00000000" w14:paraId="00000024">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Muerte acción violenta súbita y externa</w:t>
      </w:r>
    </w:p>
    <w:p w:rsidR="00000000" w:rsidDel="00000000" w:rsidP="00000000" w:rsidRDefault="00000000" w:rsidRPr="00000000" w14:paraId="00000025">
      <w:pPr>
        <w:keepLines w:val="1"/>
        <w:shd w:fill="ffffff" w:val="clear"/>
        <w:spacing w:after="240"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Envenenamiento accidental</w:t>
      </w:r>
    </w:p>
    <w:p w:rsidR="00000000" w:rsidDel="00000000" w:rsidP="00000000" w:rsidRDefault="00000000" w:rsidRPr="00000000" w14:paraId="00000026">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EXCLUSIONES</w:t>
      </w:r>
    </w:p>
    <w:p w:rsidR="00000000" w:rsidDel="00000000" w:rsidP="00000000" w:rsidRDefault="00000000" w:rsidRPr="00000000" w14:paraId="00000027">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Gastos Funerarios no aplican en los siguientes casos:</w:t>
      </w:r>
    </w:p>
    <w:p w:rsidR="00000000" w:rsidDel="00000000" w:rsidP="00000000" w:rsidRDefault="00000000" w:rsidRPr="00000000" w14:paraId="00000028">
      <w:pPr>
        <w:keepLines w:val="1"/>
        <w:shd w:fill="ffffff" w:val="clear"/>
        <w:spacing w:before="24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Maltrato, descuido, exceso de ejercicio del animal o culpa grave de los dueños de la mascota.</w:t>
      </w:r>
    </w:p>
    <w:p w:rsidR="00000000" w:rsidDel="00000000" w:rsidP="00000000" w:rsidRDefault="00000000" w:rsidRPr="00000000" w14:paraId="00000029">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Actos dolosos o intencionales contra la mascota (por ejemplo: lesiones causadas a la mascota de manera intencional.</w:t>
      </w:r>
    </w:p>
    <w:p w:rsidR="00000000" w:rsidDel="00000000" w:rsidP="00000000" w:rsidRDefault="00000000" w:rsidRPr="00000000" w14:paraId="0000002A">
      <w:pPr>
        <w:keepLines w:val="1"/>
        <w:shd w:fill="ffffff" w:val="clear"/>
        <w:spacing w:after="240"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Cualquier reclamación debida a enfermedad, lesión o muerte que ocurra fuera de la República Mexicana.</w:t>
      </w:r>
    </w:p>
    <w:p w:rsidR="00000000" w:rsidDel="00000000" w:rsidP="00000000" w:rsidRDefault="00000000" w:rsidRPr="00000000" w14:paraId="0000002B">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2C">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Desparasitación. 1 evento anual sin costo</w:t>
      </w:r>
    </w:p>
    <w:p w:rsidR="00000000" w:rsidDel="00000000" w:rsidP="00000000" w:rsidRDefault="00000000" w:rsidRPr="00000000" w14:paraId="0000002D">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Desparasitación: El Usuario podrá solicitar anualmente la desparasitación para su mascota, con la red veterinaria.</w:t>
      </w:r>
    </w:p>
    <w:p w:rsidR="00000000" w:rsidDel="00000000" w:rsidP="00000000" w:rsidRDefault="00000000" w:rsidRPr="00000000" w14:paraId="0000002E">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Este beneficio no es reembolsable si el cliente acude sin previa autorización de Petycard.</w:t>
      </w:r>
    </w:p>
    <w:p w:rsidR="00000000" w:rsidDel="00000000" w:rsidP="00000000" w:rsidRDefault="00000000" w:rsidRPr="00000000" w14:paraId="0000002F">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Un evento por vigencia, sin costo.</w:t>
      </w:r>
    </w:p>
    <w:p w:rsidR="00000000" w:rsidDel="00000000" w:rsidP="00000000" w:rsidRDefault="00000000" w:rsidRPr="00000000" w14:paraId="00000030">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31">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32">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Vacuna Antirrábica.  1 evento anual sin costo</w:t>
      </w:r>
    </w:p>
    <w:p w:rsidR="00000000" w:rsidDel="00000000" w:rsidP="00000000" w:rsidRDefault="00000000" w:rsidRPr="00000000" w14:paraId="00000033">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Vacuna Antirrábica: El Usuario podrá solicitar anualmente la vacuna antirrábica para su mascota, con la red veterinaria.</w:t>
      </w:r>
    </w:p>
    <w:p w:rsidR="00000000" w:rsidDel="00000000" w:rsidP="00000000" w:rsidRDefault="00000000" w:rsidRPr="00000000" w14:paraId="00000034">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Este beneficio no es reembolsable si el cliente acude sin previa autorización de Petycard.</w:t>
      </w:r>
    </w:p>
    <w:p w:rsidR="00000000" w:rsidDel="00000000" w:rsidP="00000000" w:rsidRDefault="00000000" w:rsidRPr="00000000" w14:paraId="00000035">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Un evento por vigencia, sin costo.</w:t>
      </w:r>
    </w:p>
    <w:p w:rsidR="00000000" w:rsidDel="00000000" w:rsidP="00000000" w:rsidRDefault="00000000" w:rsidRPr="00000000" w14:paraId="00000036">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37">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Reembolso de daños a terceros ocasionados por la mascota.</w:t>
      </w:r>
    </w:p>
    <w:p w:rsidR="00000000" w:rsidDel="00000000" w:rsidP="00000000" w:rsidRDefault="00000000" w:rsidRPr="00000000" w14:paraId="00000038">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a) PETYCARD se obliga a reembolsar dentro de los límites y condiciones de la póliza, los gastos que el Titular haya cubierto a un tercero, a consecuencia de uno o más hechos realizados sin dolo, ya sea por culpa o negligencia en el cuidado, vigilancia o por agresividad de la mascota asegurada y que causen un daño previsto a terceras personas, con motivo de la tenencia de mascotas.</w:t>
      </w:r>
    </w:p>
    <w:p w:rsidR="00000000" w:rsidDel="00000000" w:rsidP="00000000" w:rsidRDefault="00000000" w:rsidRPr="00000000" w14:paraId="00000039">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Para la cobertura de responsabilidad civil los daños comprenden: lesiones corporales, enfermedades, muerte, así como el deterioro o destrucción de bienes que haya causado la mascota asegurada. Los perjuicios que resulten y el daño moral sólo se cubren cuando sean consecuencia directa e inmediata de los citados daños.</w:t>
      </w:r>
    </w:p>
    <w:p w:rsidR="00000000" w:rsidDel="00000000" w:rsidP="00000000" w:rsidRDefault="00000000" w:rsidRPr="00000000" w14:paraId="0000003A">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Las responsabilidades civiles materia del seguro se determinan conforme a la legislación vigente en los Estados Unidos Mexicanos.</w:t>
      </w:r>
    </w:p>
    <w:p w:rsidR="00000000" w:rsidDel="00000000" w:rsidP="00000000" w:rsidRDefault="00000000" w:rsidRPr="00000000" w14:paraId="0000003B">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3C">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b) PETYCARD reembolsará hasta un límite de $5,000.00 M.N. (CINCO MIL PESOS 00/100 M.N.) IVA incluido por hechos ocasionados por la mascota asegurada y que causen daño a terceros en su persona o bienes, hayan ocurrido durante la vigencia de la póliza y de acuerdo a las especificaciones estipuladas en el apartado A.</w:t>
      </w:r>
    </w:p>
    <w:p w:rsidR="00000000" w:rsidDel="00000000" w:rsidP="00000000" w:rsidRDefault="00000000" w:rsidRPr="00000000" w14:paraId="0000003D">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3E">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EXCLUSIONES</w:t>
      </w:r>
    </w:p>
    <w:p w:rsidR="00000000" w:rsidDel="00000000" w:rsidP="00000000" w:rsidRDefault="00000000" w:rsidRPr="00000000" w14:paraId="0000003F">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Los bienes y riesgos que en ningún caso ampara el contrato celebrado entre El Cliente y PETYCARD, son:</w:t>
      </w:r>
    </w:p>
    <w:p w:rsidR="00000000" w:rsidDel="00000000" w:rsidP="00000000" w:rsidRDefault="00000000" w:rsidRPr="00000000" w14:paraId="00000040">
      <w:pPr>
        <w:keepLines w:val="1"/>
        <w:shd w:fill="ffffff" w:val="clear"/>
        <w:spacing w:before="24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Perros o gatos no registrados o amparados en la póliza.</w:t>
      </w:r>
    </w:p>
    <w:p w:rsidR="00000000" w:rsidDel="00000000" w:rsidP="00000000" w:rsidRDefault="00000000" w:rsidRPr="00000000" w14:paraId="00000041">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Perros de trabajo y de cacería.</w:t>
      </w:r>
    </w:p>
    <w:p w:rsidR="00000000" w:rsidDel="00000000" w:rsidP="00000000" w:rsidRDefault="00000000" w:rsidRPr="00000000" w14:paraId="00000042">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Maltrato, descuido, exceso de ejercicio del animal o culpa grave de los dueños de la mascota.</w:t>
      </w:r>
    </w:p>
    <w:p w:rsidR="00000000" w:rsidDel="00000000" w:rsidP="00000000" w:rsidRDefault="00000000" w:rsidRPr="00000000" w14:paraId="00000043">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Actos dolosos o intencionales contra la mascota.</w:t>
      </w:r>
    </w:p>
    <w:p w:rsidR="00000000" w:rsidDel="00000000" w:rsidP="00000000" w:rsidRDefault="00000000" w:rsidRPr="00000000" w14:paraId="00000044">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Deficiente o mala calidad higiénica en el ambiente donde vive y se desenvuelve la mascota.</w:t>
      </w:r>
    </w:p>
    <w:p w:rsidR="00000000" w:rsidDel="00000000" w:rsidP="00000000" w:rsidRDefault="00000000" w:rsidRPr="00000000" w14:paraId="00000045">
      <w:pPr>
        <w:keepLines w:val="1"/>
        <w:shd w:fill="ffffff" w:val="clear"/>
        <w:spacing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Cuando la mascota habite en terrenos o solares sin edificar o, aún edificados, sean construcciones no destinadas a la vivienda.</w:t>
      </w:r>
    </w:p>
    <w:p w:rsidR="00000000" w:rsidDel="00000000" w:rsidP="00000000" w:rsidRDefault="00000000" w:rsidRPr="00000000" w14:paraId="00000046">
      <w:pPr>
        <w:keepLines w:val="1"/>
        <w:shd w:fill="ffffff" w:val="clear"/>
        <w:spacing w:after="240" w:before="0" w:line="276" w:lineRule="auto"/>
        <w:ind w:left="108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rFonts w:ascii="Arial" w:cs="Arial" w:eastAsia="Arial" w:hAnsi="Arial"/>
          <w:b w:val="1"/>
          <w:color w:val="333333"/>
          <w:sz w:val="21"/>
          <w:szCs w:val="21"/>
          <w:rtl w:val="0"/>
        </w:rPr>
        <w:t xml:space="preserve">Lesiones por peleas intencionales, ya sean de tipo clandestinas o ilícitas.</w:t>
      </w:r>
    </w:p>
    <w:p w:rsidR="00000000" w:rsidDel="00000000" w:rsidP="00000000" w:rsidRDefault="00000000" w:rsidRPr="00000000" w14:paraId="00000047">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Asistencia legal telefónica en caso de daños a terceros.</w:t>
      </w:r>
    </w:p>
    <w:p w:rsidR="00000000" w:rsidDel="00000000" w:rsidP="00000000" w:rsidRDefault="00000000" w:rsidRPr="00000000" w14:paraId="00000048">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Petycard brindará asesoría jurídica telefónica dentro del territorio de la República Mexicana, las 24 horas, los 365 días del año.</w:t>
      </w:r>
    </w:p>
    <w:p w:rsidR="00000000" w:rsidDel="00000000" w:rsidP="00000000" w:rsidRDefault="00000000" w:rsidRPr="00000000" w14:paraId="00000049">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La prestación de estos servicios se hará a través de los abogados designados por Petycard, quienes a través del Centro de Atención Telefónica asesorarán al Usuario en relación a daños a terceros ocasionados por la mascota del titular.</w:t>
      </w:r>
    </w:p>
    <w:p w:rsidR="00000000" w:rsidDel="00000000" w:rsidP="00000000" w:rsidRDefault="00000000" w:rsidRPr="00000000" w14:paraId="0000004A">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Este servicio se prestará al Usuario, siendo sujeto pasivo o activo del siniestro.</w:t>
      </w:r>
    </w:p>
    <w:p w:rsidR="00000000" w:rsidDel="00000000" w:rsidP="00000000" w:rsidRDefault="00000000" w:rsidRPr="00000000" w14:paraId="0000004B">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Todo honorario y/o gasto erogado para la obtención de documentos para concluir el trámite correspondiente, deberán ser cubiertos por el Usuario. Sin límite de eventos.</w:t>
      </w:r>
    </w:p>
    <w:p w:rsidR="00000000" w:rsidDel="00000000" w:rsidP="00000000" w:rsidRDefault="00000000" w:rsidRPr="00000000" w14:paraId="0000004C">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Gastos médicos.</w:t>
      </w:r>
    </w:p>
    <w:p w:rsidR="00000000" w:rsidDel="00000000" w:rsidP="00000000" w:rsidRDefault="00000000" w:rsidRPr="00000000" w14:paraId="0000004D">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PETYCARD, cubrirá hasta $7,000.00 M.N. (SIETE MIL PESOS 00/100 M.N.) durante la vigencia de la póliza, mediante reembolso, los gastos médicos de la mascota del Asegurado, derivados de un accidente, de conformidad con las presentes Condiciones Generales, las Condiciones Especiales que se pacten y los límites y sublímites contratados.</w:t>
      </w:r>
    </w:p>
    <w:p w:rsidR="00000000" w:rsidDel="00000000" w:rsidP="00000000" w:rsidRDefault="00000000" w:rsidRPr="00000000" w14:paraId="0000004E">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Hospitalización.</w:t>
      </w:r>
    </w:p>
    <w:p w:rsidR="00000000" w:rsidDel="00000000" w:rsidP="00000000" w:rsidRDefault="00000000" w:rsidRPr="00000000" w14:paraId="0000004F">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PETYCARD, cubrirá durante la vigencia de la póliza, mediante reembolso, los gastos médicos de la mascota del Asegurado, derivados de una hospitalización.</w:t>
      </w:r>
    </w:p>
    <w:p w:rsidR="00000000" w:rsidDel="00000000" w:rsidP="00000000" w:rsidRDefault="00000000" w:rsidRPr="00000000" w14:paraId="00000050">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2 eventos por vigencia hasta $500 pesos por evento.</w:t>
      </w:r>
    </w:p>
    <w:p w:rsidR="00000000" w:rsidDel="00000000" w:rsidP="00000000" w:rsidRDefault="00000000" w:rsidRPr="00000000" w14:paraId="00000051">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52">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Red de descuentos comerciales.</w:t>
      </w:r>
    </w:p>
    <w:p w:rsidR="00000000" w:rsidDel="00000000" w:rsidP="00000000" w:rsidRDefault="00000000" w:rsidRPr="00000000" w14:paraId="00000053">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Descuentos en más de 13,500 establecimientos comerciales, otorgando al Usuario descuentos desde un 5% hasta un 50% en comercios como:</w:t>
      </w:r>
    </w:p>
    <w:p w:rsidR="00000000" w:rsidDel="00000000" w:rsidP="00000000" w:rsidRDefault="00000000" w:rsidRPr="00000000" w14:paraId="00000054">
      <w:pPr>
        <w:keepLines w:val="1"/>
        <w:shd w:fill="ffffff" w:val="clear"/>
        <w:spacing w:after="160" w:before="0" w:line="254.4" w:lineRule="auto"/>
        <w:ind w:left="1440" w:right="12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b w:val="1"/>
          <w:color w:val="333333"/>
          <w:sz w:val="14"/>
          <w:szCs w:val="14"/>
          <w:rtl w:val="0"/>
        </w:rPr>
        <w:t xml:space="preserve">   </w:t>
        <w:tab/>
      </w:r>
      <w:r w:rsidDel="00000000" w:rsidR="00000000" w:rsidRPr="00000000">
        <w:rPr>
          <w:rFonts w:ascii="Arial" w:cs="Arial" w:eastAsia="Arial" w:hAnsi="Arial"/>
          <w:b w:val="1"/>
          <w:color w:val="333333"/>
          <w:sz w:val="21"/>
          <w:szCs w:val="21"/>
          <w:rtl w:val="0"/>
        </w:rPr>
        <w:t xml:space="preserve">Salud</w:t>
      </w:r>
    </w:p>
    <w:p w:rsidR="00000000" w:rsidDel="00000000" w:rsidP="00000000" w:rsidRDefault="00000000" w:rsidRPr="00000000" w14:paraId="00000055">
      <w:pPr>
        <w:keepLines w:val="1"/>
        <w:shd w:fill="ffffff" w:val="clear"/>
        <w:spacing w:after="160" w:before="0" w:line="254.4" w:lineRule="auto"/>
        <w:ind w:left="1440" w:right="12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b w:val="1"/>
          <w:color w:val="333333"/>
          <w:sz w:val="14"/>
          <w:szCs w:val="14"/>
          <w:rtl w:val="0"/>
        </w:rPr>
        <w:t xml:space="preserve">   </w:t>
        <w:tab/>
      </w:r>
      <w:r w:rsidDel="00000000" w:rsidR="00000000" w:rsidRPr="00000000">
        <w:rPr>
          <w:rFonts w:ascii="Arial" w:cs="Arial" w:eastAsia="Arial" w:hAnsi="Arial"/>
          <w:b w:val="1"/>
          <w:color w:val="333333"/>
          <w:sz w:val="21"/>
          <w:szCs w:val="21"/>
          <w:rtl w:val="0"/>
        </w:rPr>
        <w:t xml:space="preserve">Moda y belleza</w:t>
      </w:r>
    </w:p>
    <w:p w:rsidR="00000000" w:rsidDel="00000000" w:rsidP="00000000" w:rsidRDefault="00000000" w:rsidRPr="00000000" w14:paraId="00000056">
      <w:pPr>
        <w:keepLines w:val="1"/>
        <w:shd w:fill="ffffff" w:val="clear"/>
        <w:spacing w:after="160" w:before="0" w:line="254.4" w:lineRule="auto"/>
        <w:ind w:left="1440" w:right="12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b w:val="1"/>
          <w:color w:val="333333"/>
          <w:sz w:val="14"/>
          <w:szCs w:val="14"/>
          <w:rtl w:val="0"/>
        </w:rPr>
        <w:t xml:space="preserve">   </w:t>
        <w:tab/>
      </w:r>
      <w:r w:rsidDel="00000000" w:rsidR="00000000" w:rsidRPr="00000000">
        <w:rPr>
          <w:rFonts w:ascii="Arial" w:cs="Arial" w:eastAsia="Arial" w:hAnsi="Arial"/>
          <w:b w:val="1"/>
          <w:color w:val="333333"/>
          <w:sz w:val="21"/>
          <w:szCs w:val="21"/>
          <w:rtl w:val="0"/>
        </w:rPr>
        <w:t xml:space="preserve">Comida</w:t>
      </w:r>
    </w:p>
    <w:p w:rsidR="00000000" w:rsidDel="00000000" w:rsidP="00000000" w:rsidRDefault="00000000" w:rsidRPr="00000000" w14:paraId="00000057">
      <w:pPr>
        <w:keepLines w:val="1"/>
        <w:shd w:fill="ffffff" w:val="clear"/>
        <w:spacing w:after="160" w:before="0" w:line="254.4" w:lineRule="auto"/>
        <w:ind w:left="1440" w:right="12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b w:val="1"/>
          <w:color w:val="333333"/>
          <w:sz w:val="14"/>
          <w:szCs w:val="14"/>
          <w:rtl w:val="0"/>
        </w:rPr>
        <w:t xml:space="preserve">   </w:t>
        <w:tab/>
      </w:r>
      <w:r w:rsidDel="00000000" w:rsidR="00000000" w:rsidRPr="00000000">
        <w:rPr>
          <w:rFonts w:ascii="Arial" w:cs="Arial" w:eastAsia="Arial" w:hAnsi="Arial"/>
          <w:b w:val="1"/>
          <w:color w:val="333333"/>
          <w:sz w:val="21"/>
          <w:szCs w:val="21"/>
          <w:rtl w:val="0"/>
        </w:rPr>
        <w:t xml:space="preserve">Escolar</w:t>
      </w:r>
    </w:p>
    <w:p w:rsidR="00000000" w:rsidDel="00000000" w:rsidP="00000000" w:rsidRDefault="00000000" w:rsidRPr="00000000" w14:paraId="00000058">
      <w:pPr>
        <w:keepLines w:val="1"/>
        <w:shd w:fill="ffffff" w:val="clear"/>
        <w:spacing w:after="160" w:before="0" w:line="254.4" w:lineRule="auto"/>
        <w:ind w:left="1440" w:right="12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b w:val="1"/>
          <w:color w:val="333333"/>
          <w:sz w:val="14"/>
          <w:szCs w:val="14"/>
          <w:rtl w:val="0"/>
        </w:rPr>
        <w:t xml:space="preserve">   </w:t>
        <w:tab/>
      </w:r>
      <w:r w:rsidDel="00000000" w:rsidR="00000000" w:rsidRPr="00000000">
        <w:rPr>
          <w:rFonts w:ascii="Arial" w:cs="Arial" w:eastAsia="Arial" w:hAnsi="Arial"/>
          <w:b w:val="1"/>
          <w:color w:val="333333"/>
          <w:sz w:val="21"/>
          <w:szCs w:val="21"/>
          <w:rtl w:val="0"/>
        </w:rPr>
        <w:t xml:space="preserve">Turismo</w:t>
      </w:r>
    </w:p>
    <w:p w:rsidR="00000000" w:rsidDel="00000000" w:rsidP="00000000" w:rsidRDefault="00000000" w:rsidRPr="00000000" w14:paraId="00000059">
      <w:pPr>
        <w:keepLines w:val="1"/>
        <w:shd w:fill="ffffff" w:val="clear"/>
        <w:spacing w:after="160" w:before="0" w:line="254.4" w:lineRule="auto"/>
        <w:ind w:left="1440" w:right="120" w:hanging="36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w:t>
      </w:r>
      <w:r w:rsidDel="00000000" w:rsidR="00000000" w:rsidRPr="00000000">
        <w:rPr>
          <w:rFonts w:ascii="Arial" w:cs="Arial" w:eastAsia="Arial" w:hAnsi="Arial"/>
          <w:b w:val="1"/>
          <w:color w:val="333333"/>
          <w:sz w:val="14"/>
          <w:szCs w:val="14"/>
          <w:rtl w:val="0"/>
        </w:rPr>
        <w:t xml:space="preserve">   </w:t>
        <w:tab/>
      </w:r>
      <w:r w:rsidDel="00000000" w:rsidR="00000000" w:rsidRPr="00000000">
        <w:rPr>
          <w:rFonts w:ascii="Arial" w:cs="Arial" w:eastAsia="Arial" w:hAnsi="Arial"/>
          <w:b w:val="1"/>
          <w:color w:val="333333"/>
          <w:sz w:val="21"/>
          <w:szCs w:val="21"/>
          <w:rtl w:val="0"/>
        </w:rPr>
        <w:t xml:space="preserve">Entretenimiento</w:t>
      </w:r>
    </w:p>
    <w:p w:rsidR="00000000" w:rsidDel="00000000" w:rsidP="00000000" w:rsidRDefault="00000000" w:rsidRPr="00000000" w14:paraId="0000005A">
      <w:pPr>
        <w:keepLines w:val="1"/>
        <w:shd w:fill="ffffff" w:val="clear"/>
        <w:spacing w:after="240" w:before="240" w:line="254.4" w:lineRule="auto"/>
        <w:ind w:left="0" w:right="12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Sin límite de eventos, mismos que están a disposición del Usuario en nuestro directorio de establecimientos afiliados y podrán ser visualizados a través nuestra aplicación.</w:t>
      </w:r>
    </w:p>
    <w:p w:rsidR="00000000" w:rsidDel="00000000" w:rsidP="00000000" w:rsidRDefault="00000000" w:rsidRPr="00000000" w14:paraId="0000005B">
      <w:pPr>
        <w:keepLines w:val="1"/>
        <w:shd w:fill="ffffff" w:val="clear"/>
        <w:spacing w:after="240" w:before="240" w:line="254.4" w:lineRule="auto"/>
        <w:ind w:left="0" w:right="12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Las 24 hrs. De los 365 días del año.</w:t>
      </w:r>
    </w:p>
    <w:p w:rsidR="00000000" w:rsidDel="00000000" w:rsidP="00000000" w:rsidRDefault="00000000" w:rsidRPr="00000000" w14:paraId="0000005C">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EXCLUSIONES GENERALES</w:t>
      </w:r>
    </w:p>
    <w:p w:rsidR="00000000" w:rsidDel="00000000" w:rsidP="00000000" w:rsidRDefault="00000000" w:rsidRPr="00000000" w14:paraId="0000005D">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No se cubre ningún animal exótico ni reptiles.</w:t>
      </w:r>
    </w:p>
    <w:p w:rsidR="00000000" w:rsidDel="00000000" w:rsidP="00000000" w:rsidRDefault="00000000" w:rsidRPr="00000000" w14:paraId="0000005E">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Se excluyen condiciones preexistentes de la mascota.</w:t>
      </w:r>
    </w:p>
    <w:p w:rsidR="00000000" w:rsidDel="00000000" w:rsidP="00000000" w:rsidRDefault="00000000" w:rsidRPr="00000000" w14:paraId="0000005F">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Se excluyen enfermedades derivadas de condiciones hereditarias típicas de algunas razas independientemente de que exista o no un diagnóstico veterinario al respecto.</w:t>
      </w:r>
    </w:p>
    <w:p w:rsidR="00000000" w:rsidDel="00000000" w:rsidP="00000000" w:rsidRDefault="00000000" w:rsidRPr="00000000" w14:paraId="00000060">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61">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ENFERMEDADES HEREDITARIAS CANINAS</w:t>
      </w:r>
    </w:p>
    <w:p w:rsidR="00000000" w:rsidDel="00000000" w:rsidP="00000000" w:rsidRDefault="00000000" w:rsidRPr="00000000" w14:paraId="00000062">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Pr>
        <w:drawing>
          <wp:inline distB="114300" distT="114300" distL="114300" distR="114300">
            <wp:extent cx="5400675" cy="38385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64">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r w:rsidDel="00000000" w:rsidR="00000000" w:rsidRPr="00000000">
        <w:rPr>
          <w:rFonts w:ascii="Arial" w:cs="Arial" w:eastAsia="Arial" w:hAnsi="Arial"/>
          <w:b w:val="1"/>
          <w:color w:val="333333"/>
          <w:sz w:val="21"/>
          <w:szCs w:val="21"/>
        </w:rPr>
        <w:drawing>
          <wp:inline distB="114300" distT="114300" distL="114300" distR="114300">
            <wp:extent cx="5400675" cy="2933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66">
      <w:pPr>
        <w:keepLines w:val="1"/>
        <w:shd w:fill="ffffff" w:val="clear"/>
        <w:spacing w:after="240" w:before="240" w:line="276" w:lineRule="auto"/>
        <w:ind w:left="0" w:firstLine="0"/>
        <w:jc w:val="both"/>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 </w:t>
      </w:r>
    </w:p>
    <w:p w:rsidR="00000000" w:rsidDel="00000000" w:rsidP="00000000" w:rsidRDefault="00000000" w:rsidRPr="00000000" w14:paraId="00000067">
      <w:pPr>
        <w:keepLines w:val="1"/>
        <w:shd w:fill="ffffff" w:val="clear"/>
        <w:spacing w:after="240" w:before="240" w:line="276" w:lineRule="auto"/>
        <w:ind w:left="0" w:firstLine="0"/>
        <w:jc w:val="both"/>
        <w:rPr>
          <w:rFonts w:ascii="Arial" w:cs="Arial" w:eastAsia="Arial" w:hAnsi="Arial"/>
          <w:b w:val="1"/>
          <w:color w:val="333333"/>
          <w:sz w:val="28"/>
          <w:szCs w:val="28"/>
        </w:rPr>
      </w:pPr>
      <w:r w:rsidDel="00000000" w:rsidR="00000000" w:rsidRPr="00000000">
        <w:rPr>
          <w:rFonts w:ascii="Arial" w:cs="Arial" w:eastAsia="Arial" w:hAnsi="Arial"/>
          <w:b w:val="1"/>
          <w:color w:val="333333"/>
          <w:sz w:val="28"/>
          <w:szCs w:val="28"/>
          <w:rtl w:val="0"/>
        </w:rPr>
        <w:t xml:space="preserve"> </w:t>
      </w:r>
    </w:p>
    <w:p w:rsidR="00000000" w:rsidDel="00000000" w:rsidP="00000000" w:rsidRDefault="00000000" w:rsidRPr="00000000" w14:paraId="00000068">
      <w:pPr>
        <w:keepLines w:val="1"/>
        <w:shd w:fill="ffffff" w:val="clear"/>
        <w:spacing w:after="460" w:before="120" w:line="276" w:lineRule="auto"/>
        <w:ind w:left="0" w:right="-220" w:firstLine="0"/>
        <w:jc w:val="both"/>
        <w:rPr>
          <w:rFonts w:ascii="Arial" w:cs="Arial" w:eastAsia="Arial" w:hAnsi="Arial"/>
          <w:b w:val="1"/>
          <w:color w:val="333333"/>
          <w:sz w:val="21"/>
          <w:szCs w:val="21"/>
        </w:rPr>
      </w:pPr>
      <w:r w:rsidDel="00000000" w:rsidR="00000000" w:rsidRPr="00000000">
        <w:rPr>
          <w:rtl w:val="0"/>
        </w:rPr>
      </w:r>
    </w:p>
    <w:sectPr>
      <w:headerReference r:id="rId9" w:type="default"/>
      <w:headerReference r:id="rId10" w:type="firs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7" name="image9.png"/>
          <a:graphic>
            <a:graphicData uri="http://schemas.openxmlformats.org/drawingml/2006/picture">
              <pic:pic>
                <pic:nvPicPr>
                  <pic:cNvPr descr="footer graphic" id="0" name="image9.png"/>
                  <pic:cNvPicPr preferRelativeResize="0"/>
                </pic:nvPicPr>
                <pic:blipFill>
                  <a:blip r:embed="rId1"/>
                  <a:srcRect b="0" l="0" r="0"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Square wrapText="bothSides" distB="0" distT="0" distL="0" distR="0"/>
          <wp:docPr descr="gráfico del pie de página" id="4" name="image9.png"/>
          <a:graphic>
            <a:graphicData uri="http://schemas.openxmlformats.org/drawingml/2006/picture">
              <pic:pic>
                <pic:nvPicPr>
                  <pic:cNvPr descr="gráfico del pie de página" id="0" name="image9.png"/>
                  <pic:cNvPicPr preferRelativeResize="0"/>
                </pic:nvPicPr>
                <pic:blipFill>
                  <a:blip r:embed="rId1"/>
                  <a:srcRect b="0" l="0" r="0"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2" name="image8.png"/>
          <a:graphic>
            <a:graphicData uri="http://schemas.openxmlformats.org/drawingml/2006/picture">
              <pic:pic>
                <pic:nvPicPr>
                  <pic:cNvPr descr="corner graphic" id="0" name="image8.png"/>
                  <pic:cNvPicPr preferRelativeResize="0"/>
                </pic:nvPicPr>
                <pic:blipFill>
                  <a:blip r:embed="rId1">
                    <a:alphaModFix amt="76000"/>
                  </a:blip>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gráfico de la esquina" id="1" name="image7.png"/>
          <a:graphic>
            <a:graphicData uri="http://schemas.openxmlformats.org/drawingml/2006/picture">
              <pic:pic>
                <pic:nvPicPr>
                  <pic:cNvPr descr="gráfico de la esquina" id="0" name="image7.png"/>
                  <pic:cNvPicPr preferRelativeResize="0"/>
                </pic:nvPicPr>
                <pic:blipFill>
                  <a:blip r:embed="rId1">
                    <a:alphaModFix amt="76000"/>
                  </a:blip>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_419"/>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