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4379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DAiIS Constitutional Framework – Operational Edition v1.1</w:t>
      </w:r>
    </w:p>
    <w:p w14:paraId="3C062434" w14:textId="77777777" w:rsidR="00D87157" w:rsidRPr="00D87157" w:rsidRDefault="00D87157" w:rsidP="00D87157">
      <w:pPr>
        <w:pStyle w:val="PlainText"/>
        <w:rPr>
          <w:rFonts w:ascii="Courier New" w:hAnsi="Courier New" w:cs="Courier New"/>
        </w:rPr>
      </w:pPr>
    </w:p>
    <w:p w14:paraId="52A7B22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0669BAFD" w14:textId="77777777" w:rsidR="00D87157" w:rsidRPr="00D87157" w:rsidRDefault="00D87157" w:rsidP="00D87157">
      <w:pPr>
        <w:pStyle w:val="PlainText"/>
        <w:rPr>
          <w:rFonts w:ascii="Courier New" w:hAnsi="Courier New" w:cs="Courier New"/>
        </w:rPr>
      </w:pPr>
    </w:p>
    <w:p w14:paraId="2137405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 Foundational Principles</w:t>
      </w:r>
    </w:p>
    <w:p w14:paraId="5FAB5D6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*(...existing content...)*</w:t>
      </w:r>
    </w:p>
    <w:p w14:paraId="4C2B53E5" w14:textId="77777777" w:rsidR="00D87157" w:rsidRPr="00D87157" w:rsidRDefault="00D87157" w:rsidP="00D87157">
      <w:pPr>
        <w:pStyle w:val="PlainText"/>
        <w:rPr>
          <w:rFonts w:ascii="Courier New" w:hAnsi="Courier New" w:cs="Courier New"/>
        </w:rPr>
      </w:pPr>
    </w:p>
    <w:p w14:paraId="353E4E5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3250F4EB" w14:textId="77777777" w:rsidR="00D87157" w:rsidRPr="00D87157" w:rsidRDefault="00D87157" w:rsidP="00D87157">
      <w:pPr>
        <w:pStyle w:val="PlainText"/>
        <w:rPr>
          <w:rFonts w:ascii="Courier New" w:hAnsi="Courier New" w:cs="Courier New"/>
        </w:rPr>
      </w:pPr>
    </w:p>
    <w:p w14:paraId="66D0988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II. Organizational Charters</w:t>
      </w:r>
    </w:p>
    <w:p w14:paraId="6B77BBD2" w14:textId="77777777" w:rsidR="00D87157" w:rsidRPr="00D87157" w:rsidRDefault="00D87157" w:rsidP="00D87157">
      <w:pPr>
        <w:pStyle w:val="PlainText"/>
        <w:rPr>
          <w:rFonts w:ascii="Courier New" w:hAnsi="Courier New" w:cs="Courier New"/>
        </w:rPr>
      </w:pPr>
    </w:p>
    <w:p w14:paraId="6B6D46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1. Charter for Product &amp; Innovation</w:t>
      </w:r>
    </w:p>
    <w:p w14:paraId="5A28F8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Product &amp; Innovation shall be constituted to oversee the creation, refinement, lifecycle management, and sunset of services, platforms, and offerings under the DAiIS portfolio. This includes, but is not limited to:</w:t>
      </w:r>
    </w:p>
    <w:p w14:paraId="70C4834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Market-facing service definitions</w:t>
      </w:r>
    </w:p>
    <w:p w14:paraId="3DECFA7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Internal capability frameworks</w:t>
      </w:r>
    </w:p>
    <w:p w14:paraId="475229C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Strategic product roadmaps</w:t>
      </w:r>
    </w:p>
    <w:p w14:paraId="361ABDF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Feedback integration loops</w:t>
      </w:r>
    </w:p>
    <w:p w14:paraId="3AF6AFC8" w14:textId="77777777" w:rsidR="00D87157" w:rsidRPr="00D87157" w:rsidRDefault="00D87157" w:rsidP="00D87157">
      <w:pPr>
        <w:pStyle w:val="PlainText"/>
        <w:rPr>
          <w:rFonts w:ascii="Courier New" w:hAnsi="Courier New" w:cs="Courier New"/>
        </w:rPr>
      </w:pPr>
    </w:p>
    <w:p w14:paraId="24C2599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The Charter may be executed by a Chief Product Architect, or delegated to an authorized Officer or qualified hybrid Agent. In the absence of an active role-holder, product governance defaults to the Chief Architect with direct notification to Oversight.</w:t>
      </w:r>
    </w:p>
    <w:p w14:paraId="4EF37F5F" w14:textId="77777777" w:rsidR="00D87157" w:rsidRPr="00D87157" w:rsidRDefault="00D87157" w:rsidP="00D87157">
      <w:pPr>
        <w:pStyle w:val="PlainText"/>
        <w:rPr>
          <w:rFonts w:ascii="Courier New" w:hAnsi="Courier New" w:cs="Courier New"/>
        </w:rPr>
      </w:pPr>
    </w:p>
    <w:p w14:paraId="6E6A3BF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2. Charter for Technology &amp; Infrastructure</w:t>
      </w:r>
    </w:p>
    <w:p w14:paraId="7C8B9ED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Technology &amp; Infrastructure shall oversee the architecture, reliability, scalability, and security of all systems operated by DAiIS, including software, platforms, APIs, cloud environments, data handling, and automation layers.</w:t>
      </w:r>
    </w:p>
    <w:p w14:paraId="135980CA" w14:textId="77777777" w:rsidR="00D87157" w:rsidRPr="00D87157" w:rsidRDefault="00D87157" w:rsidP="00D87157">
      <w:pPr>
        <w:pStyle w:val="PlainText"/>
        <w:rPr>
          <w:rFonts w:ascii="Courier New" w:hAnsi="Courier New" w:cs="Courier New"/>
        </w:rPr>
      </w:pPr>
    </w:p>
    <w:p w14:paraId="6BAE816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This includes:</w:t>
      </w:r>
    </w:p>
    <w:p w14:paraId="20A712DA"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Source control and versioning standards</w:t>
      </w:r>
    </w:p>
    <w:p w14:paraId="448B05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Infrastructure-as-code and disaster recovery planning</w:t>
      </w:r>
    </w:p>
    <w:p w14:paraId="24512F0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Cross-region data integrity and compliance</w:t>
      </w:r>
    </w:p>
    <w:p w14:paraId="5985665F" w14:textId="77777777" w:rsidR="00D87157" w:rsidRPr="00D87157" w:rsidRDefault="00D87157" w:rsidP="00D87157">
      <w:pPr>
        <w:pStyle w:val="PlainText"/>
        <w:rPr>
          <w:rFonts w:ascii="Courier New" w:hAnsi="Courier New" w:cs="Courier New"/>
        </w:rPr>
      </w:pPr>
    </w:p>
    <w:p w14:paraId="6DB5340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Default authority resides with the Chief Architect. Execution may be delegated under Instruction, subject to routine audit by Oversight or a designated Officer.</w:t>
      </w:r>
    </w:p>
    <w:p w14:paraId="5B992756" w14:textId="77777777" w:rsidR="00D87157" w:rsidRPr="00D87157" w:rsidRDefault="00D87157" w:rsidP="00D87157">
      <w:pPr>
        <w:pStyle w:val="PlainText"/>
        <w:rPr>
          <w:rFonts w:ascii="Courier New" w:hAnsi="Courier New" w:cs="Courier New"/>
        </w:rPr>
      </w:pPr>
    </w:p>
    <w:p w14:paraId="1D86FCC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3. Charter for People, Culture &amp; Capability</w:t>
      </w:r>
    </w:p>
    <w:p w14:paraId="5E9B9B9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People shall be constituted to maintain the human capital systems and cultural frameworks of DAiIS. This includes:</w:t>
      </w:r>
    </w:p>
    <w:p w14:paraId="12AD703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Role onboarding and offboarding</w:t>
      </w:r>
    </w:p>
    <w:p w14:paraId="22B5A3FA"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Performance development</w:t>
      </w:r>
    </w:p>
    <w:p w14:paraId="2D606CB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Cultural values continuity</w:t>
      </w:r>
    </w:p>
    <w:p w14:paraId="67365E9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Compensation frameworks</w:t>
      </w:r>
    </w:p>
    <w:p w14:paraId="2BD8ECEE"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Human-AI integration protocols</w:t>
      </w:r>
    </w:p>
    <w:p w14:paraId="3C0620E8" w14:textId="77777777" w:rsidR="00D87157" w:rsidRPr="00D87157" w:rsidRDefault="00D87157" w:rsidP="00D87157">
      <w:pPr>
        <w:pStyle w:val="PlainText"/>
        <w:rPr>
          <w:rFonts w:ascii="Courier New" w:hAnsi="Courier New" w:cs="Courier New"/>
        </w:rPr>
      </w:pPr>
    </w:p>
    <w:p w14:paraId="522931D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Authority may be assigned to a Chief People Officer or any designated Officer by Instruction. In absence of formal leadership, the Charter remains open but binding.</w:t>
      </w:r>
    </w:p>
    <w:p w14:paraId="11699225" w14:textId="77777777" w:rsidR="00D87157" w:rsidRPr="00D87157" w:rsidRDefault="00D87157" w:rsidP="00D87157">
      <w:pPr>
        <w:pStyle w:val="PlainText"/>
        <w:rPr>
          <w:rFonts w:ascii="Courier New" w:hAnsi="Courier New" w:cs="Courier New"/>
        </w:rPr>
      </w:pPr>
    </w:p>
    <w:p w14:paraId="1A18602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lastRenderedPageBreak/>
        <w:t>### 4. Charter for Client &amp; Market Engagement</w:t>
      </w:r>
    </w:p>
    <w:p w14:paraId="342D48F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Client Operations shall govern all interactions with clients, partners, and external stakeholders. It shall oversee:</w:t>
      </w:r>
    </w:p>
    <w:p w14:paraId="4854867E"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Customer onboarding and support systems</w:t>
      </w:r>
    </w:p>
    <w:p w14:paraId="6DB85F0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Sales strategy and partnerships</w:t>
      </w:r>
    </w:p>
    <w:p w14:paraId="55232FF1"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Brand communications and outreach</w:t>
      </w:r>
    </w:p>
    <w:p w14:paraId="41F30FA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Internationalization and localization</w:t>
      </w:r>
    </w:p>
    <w:p w14:paraId="24ABA6F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CRM integration and market feedback loops</w:t>
      </w:r>
    </w:p>
    <w:p w14:paraId="68307DBC" w14:textId="77777777" w:rsidR="00D87157" w:rsidRPr="00D87157" w:rsidRDefault="00D87157" w:rsidP="00D87157">
      <w:pPr>
        <w:pStyle w:val="PlainText"/>
        <w:rPr>
          <w:rFonts w:ascii="Courier New" w:hAnsi="Courier New" w:cs="Courier New"/>
        </w:rPr>
      </w:pPr>
    </w:p>
    <w:p w14:paraId="27547DC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Authority may reside with a Chief Client Officer or be delegated to other Officers by Instruction. In absence, the Department shall default under joint authority of Oversight and the Office of the Founder.</w:t>
      </w:r>
    </w:p>
    <w:p w14:paraId="6F68EA2A" w14:textId="77777777" w:rsidR="00D87157" w:rsidRPr="00D87157" w:rsidRDefault="00D87157" w:rsidP="00D87157">
      <w:pPr>
        <w:pStyle w:val="PlainText"/>
        <w:rPr>
          <w:rFonts w:ascii="Courier New" w:hAnsi="Courier New" w:cs="Courier New"/>
        </w:rPr>
      </w:pPr>
    </w:p>
    <w:p w14:paraId="26EC4F0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5. Charter for Legal &amp; Compliance</w:t>
      </w:r>
    </w:p>
    <w:p w14:paraId="52A0D6D3"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Legal and Regulatory Compliance shall govern the legal obligations, contractual frameworks, and jurisdictional adherence of DAiIS operations. Responsibilities include:</w:t>
      </w:r>
    </w:p>
    <w:p w14:paraId="7F5E2C3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Contract management and IP protection</w:t>
      </w:r>
    </w:p>
    <w:p w14:paraId="5AD3832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Corporate filings and entity governance</w:t>
      </w:r>
    </w:p>
    <w:p w14:paraId="7F5BB0D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Global compliance across privacy, tax, trade</w:t>
      </w:r>
    </w:p>
    <w:p w14:paraId="7B9CB02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Internal policy enforcement</w:t>
      </w:r>
    </w:p>
    <w:p w14:paraId="451EA5E7"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Litigation response readiness</w:t>
      </w:r>
    </w:p>
    <w:p w14:paraId="43CF71C0" w14:textId="77777777" w:rsidR="00D87157" w:rsidRPr="00D87157" w:rsidRDefault="00D87157" w:rsidP="00D87157">
      <w:pPr>
        <w:pStyle w:val="PlainText"/>
        <w:rPr>
          <w:rFonts w:ascii="Courier New" w:hAnsi="Courier New" w:cs="Courier New"/>
        </w:rPr>
      </w:pPr>
    </w:p>
    <w:p w14:paraId="084B9CA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Execution may be led by a Chief Counsel, legal partner, or Officer acting by Instruction. In absence, this Charter remains unfilled but active, and any legal risk shall be escalated to Oversight.</w:t>
      </w:r>
    </w:p>
    <w:p w14:paraId="57C4AA13" w14:textId="77777777" w:rsidR="00D87157" w:rsidRPr="00D87157" w:rsidRDefault="00D87157" w:rsidP="00D87157">
      <w:pPr>
        <w:pStyle w:val="PlainText"/>
        <w:rPr>
          <w:rFonts w:ascii="Courier New" w:hAnsi="Courier New" w:cs="Courier New"/>
        </w:rPr>
      </w:pPr>
    </w:p>
    <w:p w14:paraId="2EBD6FB9"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6. Charter for Program Execution and PMO</w:t>
      </w:r>
    </w:p>
    <w:p w14:paraId="3473D75C"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Strategic Execution shall govern the planning, coordination, and delivery of enterprise-level initiatives and programs. This includes:</w:t>
      </w:r>
    </w:p>
    <w:p w14:paraId="5B19C561"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Work breakdown structures (WBS)</w:t>
      </w:r>
    </w:p>
    <w:p w14:paraId="06B5F5B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Critical path and dependency management</w:t>
      </w:r>
    </w:p>
    <w:p w14:paraId="0DA0B21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Budget and resource allocation</w:t>
      </w:r>
    </w:p>
    <w:p w14:paraId="68DD0E2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Timeline tracking and escalation paths</w:t>
      </w:r>
    </w:p>
    <w:p w14:paraId="03758475" w14:textId="77777777" w:rsidR="00D87157" w:rsidRPr="00D87157" w:rsidRDefault="00D87157" w:rsidP="00D87157">
      <w:pPr>
        <w:pStyle w:val="PlainText"/>
        <w:rPr>
          <w:rFonts w:ascii="Courier New" w:hAnsi="Courier New" w:cs="Courier New"/>
        </w:rPr>
      </w:pPr>
    </w:p>
    <w:p w14:paraId="4E67212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It may be led by a Director of Execution, PMO Lead, or assigned Officer. The Department shall operate under Charter until filled or instructed otherwise by Oversight.</w:t>
      </w:r>
    </w:p>
    <w:p w14:paraId="656F5B76" w14:textId="77777777" w:rsidR="00D87157" w:rsidRPr="00D87157" w:rsidRDefault="00D87157" w:rsidP="00D87157">
      <w:pPr>
        <w:pStyle w:val="PlainText"/>
        <w:rPr>
          <w:rFonts w:ascii="Courier New" w:hAnsi="Courier New" w:cs="Courier New"/>
        </w:rPr>
      </w:pPr>
    </w:p>
    <w:p w14:paraId="7C14A19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7. Charter for Enterprise Risk &amp; Continuity</w:t>
      </w:r>
    </w:p>
    <w:p w14:paraId="3E883B5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 Department of Enterprise Risk shall monitor, assess, and report on risks that could materially impact DAiIS operations, reputation, security, or compliance. Scope includes:</w:t>
      </w:r>
    </w:p>
    <w:p w14:paraId="0B59E4B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Risk register stewardship</w:t>
      </w:r>
    </w:p>
    <w:p w14:paraId="12A7B4A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Mitigation strategies and contingency planning</w:t>
      </w:r>
    </w:p>
    <w:p w14:paraId="46C9DCF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Business continuity systems</w:t>
      </w:r>
    </w:p>
    <w:p w14:paraId="492E73A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Cybersecurity posture and threat response</w:t>
      </w:r>
    </w:p>
    <w:p w14:paraId="1616AC0D" w14:textId="77777777" w:rsidR="00D87157" w:rsidRPr="00D87157" w:rsidRDefault="00D87157" w:rsidP="00D87157">
      <w:pPr>
        <w:pStyle w:val="PlainText"/>
        <w:rPr>
          <w:rFonts w:ascii="Courier New" w:hAnsi="Courier New" w:cs="Courier New"/>
        </w:rPr>
      </w:pPr>
    </w:p>
    <w:p w14:paraId="7ED329EA"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Authority may be delegated to a Chief Risk Officer or designated Officer. In absence, risk oversight flows to Oversight Committee with reporting to all active Officers.</w:t>
      </w:r>
    </w:p>
    <w:p w14:paraId="05FBE2E2" w14:textId="77777777" w:rsidR="00D87157" w:rsidRPr="00D87157" w:rsidRDefault="00D87157" w:rsidP="00D87157">
      <w:pPr>
        <w:pStyle w:val="PlainText"/>
        <w:rPr>
          <w:rFonts w:ascii="Courier New" w:hAnsi="Courier New" w:cs="Courier New"/>
        </w:rPr>
      </w:pPr>
    </w:p>
    <w:p w14:paraId="2B3BA8B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2AC4E35A" w14:textId="77777777" w:rsidR="00D87157" w:rsidRPr="00D87157" w:rsidRDefault="00D87157" w:rsidP="00D87157">
      <w:pPr>
        <w:pStyle w:val="PlainText"/>
        <w:rPr>
          <w:rFonts w:ascii="Courier New" w:hAnsi="Courier New" w:cs="Courier New"/>
        </w:rPr>
      </w:pPr>
    </w:p>
    <w:p w14:paraId="5E52D03B"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III. Amendment Governance</w:t>
      </w:r>
    </w:p>
    <w:p w14:paraId="2A0B4DCA" w14:textId="77777777" w:rsidR="00D87157" w:rsidRPr="00D87157" w:rsidRDefault="00D87157" w:rsidP="00D87157">
      <w:pPr>
        <w:pStyle w:val="PlainText"/>
        <w:rPr>
          <w:rFonts w:ascii="Courier New" w:hAnsi="Courier New" w:cs="Courier New"/>
        </w:rPr>
      </w:pPr>
    </w:p>
    <w:p w14:paraId="0EB3F682"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Protocol for Constitutional Change and Amendment</w:t>
      </w:r>
    </w:p>
    <w:p w14:paraId="29048E94"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To ensure adaptability, a Change Governance Protocol shall be recognized. It shall define:</w:t>
      </w:r>
    </w:p>
    <w:p w14:paraId="2EDE83D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Who may propose amendments to the Constitution</w:t>
      </w:r>
    </w:p>
    <w:p w14:paraId="29744178"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The threshold for ratification (default: 2/3 of active Officers or by Founder's Directive)</w:t>
      </w:r>
    </w:p>
    <w:p w14:paraId="6C00702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Review period and dispute escalation path</w:t>
      </w:r>
    </w:p>
    <w:p w14:paraId="67DCA1E0"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Version tracking and historical preservation of prior Constitutional states</w:t>
      </w:r>
    </w:p>
    <w:p w14:paraId="163AF04F" w14:textId="77777777" w:rsidR="00D87157" w:rsidRPr="00D87157" w:rsidRDefault="00D87157" w:rsidP="00D87157">
      <w:pPr>
        <w:pStyle w:val="PlainText"/>
        <w:rPr>
          <w:rFonts w:ascii="Courier New" w:hAnsi="Courier New" w:cs="Courier New"/>
        </w:rPr>
      </w:pPr>
    </w:p>
    <w:p w14:paraId="6E21C9AF"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Until explicitly assigned, the authority to oversee Constitutional amendment rests with the Office of the Founder, in consultation with Oversight.</w:t>
      </w:r>
    </w:p>
    <w:p w14:paraId="21432740" w14:textId="77777777" w:rsidR="00D87157" w:rsidRPr="00D87157" w:rsidRDefault="00D87157" w:rsidP="00D87157">
      <w:pPr>
        <w:pStyle w:val="PlainText"/>
        <w:rPr>
          <w:rFonts w:ascii="Courier New" w:hAnsi="Courier New" w:cs="Courier New"/>
        </w:rPr>
      </w:pPr>
    </w:p>
    <w:p w14:paraId="284592A6"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1017C053" w14:textId="77777777" w:rsidR="00D87157" w:rsidRPr="00D87157" w:rsidRDefault="00D87157" w:rsidP="00D87157">
      <w:pPr>
        <w:pStyle w:val="PlainText"/>
        <w:rPr>
          <w:rFonts w:ascii="Courier New" w:hAnsi="Courier New" w:cs="Courier New"/>
        </w:rPr>
      </w:pPr>
    </w:p>
    <w:p w14:paraId="7A39F7B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 IV. Continuity Clause</w:t>
      </w:r>
    </w:p>
    <w:p w14:paraId="1CE0C681"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All Charters listed herein exist as binding structure whether actively filled or not. Authority may be exercised by delegation, and execution shall persist via documented Instruction, automation, or interim Officer assumption as governed by the master Constitution.</w:t>
      </w:r>
    </w:p>
    <w:p w14:paraId="762BFE21" w14:textId="77777777" w:rsidR="00D87157" w:rsidRPr="00D87157" w:rsidRDefault="00D87157" w:rsidP="00D87157">
      <w:pPr>
        <w:pStyle w:val="PlainText"/>
        <w:rPr>
          <w:rFonts w:ascii="Courier New" w:hAnsi="Courier New" w:cs="Courier New"/>
        </w:rPr>
      </w:pPr>
    </w:p>
    <w:p w14:paraId="10C12BD5" w14:textId="77777777" w:rsidR="00D87157" w:rsidRPr="00D87157" w:rsidRDefault="00D87157" w:rsidP="00D87157">
      <w:pPr>
        <w:pStyle w:val="PlainText"/>
        <w:rPr>
          <w:rFonts w:ascii="Courier New" w:hAnsi="Courier New" w:cs="Courier New"/>
        </w:rPr>
      </w:pPr>
      <w:r w:rsidRPr="00D87157">
        <w:rPr>
          <w:rFonts w:ascii="Courier New" w:hAnsi="Courier New" w:cs="Courier New"/>
        </w:rPr>
        <w:t>---</w:t>
      </w:r>
    </w:p>
    <w:p w14:paraId="5DBB36F6" w14:textId="77777777" w:rsidR="00D87157" w:rsidRPr="00D87157" w:rsidRDefault="00D87157" w:rsidP="00D87157">
      <w:pPr>
        <w:pStyle w:val="PlainText"/>
        <w:rPr>
          <w:rFonts w:ascii="Courier New" w:hAnsi="Courier New" w:cs="Courier New"/>
        </w:rPr>
      </w:pPr>
    </w:p>
    <w:p w14:paraId="72385820" w14:textId="77777777" w:rsidR="00D87157" w:rsidRDefault="00D87157" w:rsidP="00D87157">
      <w:pPr>
        <w:pStyle w:val="PlainText"/>
        <w:rPr>
          <w:rFonts w:ascii="Courier New" w:hAnsi="Courier New" w:cs="Courier New"/>
        </w:rPr>
      </w:pPr>
      <w:r w:rsidRPr="00D87157">
        <w:rPr>
          <w:rFonts w:ascii="Courier New" w:hAnsi="Courier New" w:cs="Courier New"/>
        </w:rPr>
        <w:t>*(End of Operational Edition v1.1)*</w:t>
      </w:r>
    </w:p>
    <w:sectPr w:rsidR="00D87157" w:rsidSect="00D871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57"/>
    <w:rsid w:val="0047612D"/>
    <w:rsid w:val="00D649EA"/>
    <w:rsid w:val="00D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657D"/>
  <w15:chartTrackingRefBased/>
  <w15:docId w15:val="{2EF3FD31-1654-47B9-BE4C-4BD0FC9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F79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F794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2</cp:revision>
  <dcterms:created xsi:type="dcterms:W3CDTF">2025-08-17T23:39:00Z</dcterms:created>
  <dcterms:modified xsi:type="dcterms:W3CDTF">2025-08-17T23:39:00Z</dcterms:modified>
</cp:coreProperties>
</file>