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4379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DAiIS Constitutional Framework – Operational Edition v1.1</w:t>
      </w:r>
    </w:p>
    <w:p w14:paraId="3C062434" w14:textId="77777777" w:rsidR="00D87157" w:rsidRPr="00D87157" w:rsidRDefault="00D87157" w:rsidP="00D87157">
      <w:pPr>
        <w:pStyle w:val="PlainText"/>
        <w:rPr>
          <w:rFonts w:ascii="Courier New" w:hAnsi="Courier New" w:cs="Courier New"/>
        </w:rPr>
      </w:pPr>
    </w:p>
    <w:p w14:paraId="52A7B22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0669BAFD" w14:textId="77777777" w:rsidR="00D87157" w:rsidRPr="00D87157" w:rsidRDefault="00D87157" w:rsidP="00D87157">
      <w:pPr>
        <w:pStyle w:val="PlainText"/>
        <w:rPr>
          <w:rFonts w:ascii="Courier New" w:hAnsi="Courier New" w:cs="Courier New"/>
        </w:rPr>
      </w:pPr>
    </w:p>
    <w:p w14:paraId="2137405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 Foundational Principles</w:t>
      </w:r>
    </w:p>
    <w:p w14:paraId="5FAB5D6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*(...existing content...)*</w:t>
      </w:r>
    </w:p>
    <w:p w14:paraId="4C2B53E5" w14:textId="77777777" w:rsidR="00D87157" w:rsidRPr="00D87157" w:rsidRDefault="00D87157" w:rsidP="00D87157">
      <w:pPr>
        <w:pStyle w:val="PlainText"/>
        <w:rPr>
          <w:rFonts w:ascii="Courier New" w:hAnsi="Courier New" w:cs="Courier New"/>
        </w:rPr>
      </w:pPr>
    </w:p>
    <w:p w14:paraId="353E4E5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3250F4EB" w14:textId="77777777" w:rsidR="00D87157" w:rsidRPr="00D87157" w:rsidRDefault="00D87157" w:rsidP="00D87157">
      <w:pPr>
        <w:pStyle w:val="PlainText"/>
        <w:rPr>
          <w:rFonts w:ascii="Courier New" w:hAnsi="Courier New" w:cs="Courier New"/>
        </w:rPr>
      </w:pPr>
    </w:p>
    <w:p w14:paraId="66D0988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II. Organizational Charters</w:t>
      </w:r>
    </w:p>
    <w:p w14:paraId="6B77BBD2" w14:textId="77777777" w:rsidR="00D87157" w:rsidRPr="00D87157" w:rsidRDefault="00D87157" w:rsidP="00D87157">
      <w:pPr>
        <w:pStyle w:val="PlainText"/>
        <w:rPr>
          <w:rFonts w:ascii="Courier New" w:hAnsi="Courier New" w:cs="Courier New"/>
        </w:rPr>
      </w:pPr>
    </w:p>
    <w:p w14:paraId="6B6D46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1. Charter for Product &amp; Innovation</w:t>
      </w:r>
    </w:p>
    <w:p w14:paraId="5A28F8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Product &amp; Innovation shall be constituted to oversee the creation, refinement, lifecycle management, and sunset of services, platforms, and offerings under the DAiIS portfolio. This includes, but is not limited to:</w:t>
      </w:r>
    </w:p>
    <w:p w14:paraId="70C4834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Market-facing service definitions</w:t>
      </w:r>
    </w:p>
    <w:p w14:paraId="3DECFA7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Internal capability frameworks</w:t>
      </w:r>
    </w:p>
    <w:p w14:paraId="475229C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Strategic product roadmaps</w:t>
      </w:r>
    </w:p>
    <w:p w14:paraId="361ABDF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Feedback integration loops</w:t>
      </w:r>
    </w:p>
    <w:p w14:paraId="3AF6AFC8" w14:textId="77777777" w:rsidR="00D87157" w:rsidRPr="00D87157" w:rsidRDefault="00D87157" w:rsidP="00D87157">
      <w:pPr>
        <w:pStyle w:val="PlainText"/>
        <w:rPr>
          <w:rFonts w:ascii="Courier New" w:hAnsi="Courier New" w:cs="Courier New"/>
        </w:rPr>
      </w:pPr>
    </w:p>
    <w:p w14:paraId="24C2599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The Charter may be executed by a Chief Product Architect, or delegated to an authorized Officer or qualified hybrid Agent. In the absence of an active role-holder, product governance defaults to the Chief Architect with direct notification to Oversight.</w:t>
      </w:r>
    </w:p>
    <w:p w14:paraId="4EF37F5F" w14:textId="77777777" w:rsidR="00D87157" w:rsidRPr="00D87157" w:rsidRDefault="00D87157" w:rsidP="00D87157">
      <w:pPr>
        <w:pStyle w:val="PlainText"/>
        <w:rPr>
          <w:rFonts w:ascii="Courier New" w:hAnsi="Courier New" w:cs="Courier New"/>
        </w:rPr>
      </w:pPr>
    </w:p>
    <w:p w14:paraId="6E6A3BF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2. Charter for Technology &amp; Infrastructure</w:t>
      </w:r>
    </w:p>
    <w:p w14:paraId="7C8B9ED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Technology &amp; Infrastructure shall oversee the architecture, reliability, scalability, and security of all systems operated by DAiIS, including software, platforms, APIs, cloud environments, data handling, and automation layers.</w:t>
      </w:r>
    </w:p>
    <w:p w14:paraId="135980CA" w14:textId="77777777" w:rsidR="00D87157" w:rsidRPr="00D87157" w:rsidRDefault="00D87157" w:rsidP="00D87157">
      <w:pPr>
        <w:pStyle w:val="PlainText"/>
        <w:rPr>
          <w:rFonts w:ascii="Courier New" w:hAnsi="Courier New" w:cs="Courier New"/>
        </w:rPr>
      </w:pPr>
    </w:p>
    <w:p w14:paraId="6BAE816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This includes:</w:t>
      </w:r>
    </w:p>
    <w:p w14:paraId="20A712DA"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Source control and versioning standards</w:t>
      </w:r>
    </w:p>
    <w:p w14:paraId="448B05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Infrastructure-as-code and disaster recovery planning</w:t>
      </w:r>
    </w:p>
    <w:p w14:paraId="24512F0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Cross-region data integrity and compliance</w:t>
      </w:r>
    </w:p>
    <w:p w14:paraId="5985665F" w14:textId="77777777" w:rsidR="00D87157" w:rsidRPr="00D87157" w:rsidRDefault="00D87157" w:rsidP="00D87157">
      <w:pPr>
        <w:pStyle w:val="PlainText"/>
        <w:rPr>
          <w:rFonts w:ascii="Courier New" w:hAnsi="Courier New" w:cs="Courier New"/>
        </w:rPr>
      </w:pPr>
    </w:p>
    <w:p w14:paraId="6DB5340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Default authority resides with the Chief Architect. Execution may be delegated under Instruction, subject to routine audit by Oversight or a designated Officer.</w:t>
      </w:r>
    </w:p>
    <w:p w14:paraId="5B992756" w14:textId="77777777" w:rsidR="00D87157" w:rsidRPr="00D87157" w:rsidRDefault="00D87157" w:rsidP="00D87157">
      <w:pPr>
        <w:pStyle w:val="PlainText"/>
        <w:rPr>
          <w:rFonts w:ascii="Courier New" w:hAnsi="Courier New" w:cs="Courier New"/>
        </w:rPr>
      </w:pPr>
    </w:p>
    <w:p w14:paraId="1D86FCC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3. Charter for People, Culture &amp; Capability</w:t>
      </w:r>
    </w:p>
    <w:p w14:paraId="5E9B9B9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People shall be constituted to maintain the human capital systems and cultural frameworks of DAiIS. This includes:</w:t>
      </w:r>
    </w:p>
    <w:p w14:paraId="12AD703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Role onboarding and offboarding</w:t>
      </w:r>
    </w:p>
    <w:p w14:paraId="22B5A3FA"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Performance development</w:t>
      </w:r>
    </w:p>
    <w:p w14:paraId="2D606CB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Cultural values continuity</w:t>
      </w:r>
    </w:p>
    <w:p w14:paraId="67365E9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Compensation frameworks</w:t>
      </w:r>
    </w:p>
    <w:p w14:paraId="2BD8ECEE"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Human-AI integration protocols</w:t>
      </w:r>
    </w:p>
    <w:p w14:paraId="3C0620E8" w14:textId="77777777" w:rsidR="00D87157" w:rsidRPr="00D87157" w:rsidRDefault="00D87157" w:rsidP="00D87157">
      <w:pPr>
        <w:pStyle w:val="PlainText"/>
        <w:rPr>
          <w:rFonts w:ascii="Courier New" w:hAnsi="Courier New" w:cs="Courier New"/>
        </w:rPr>
      </w:pPr>
    </w:p>
    <w:p w14:paraId="522931D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Authority may be assigned to a Chief People Officer or any designated Officer by Instruction. In absence of formal leadership, the Charter remains open but binding.</w:t>
      </w:r>
    </w:p>
    <w:p w14:paraId="11699225" w14:textId="77777777" w:rsidR="00D87157" w:rsidRPr="00D87157" w:rsidRDefault="00D87157" w:rsidP="00D87157">
      <w:pPr>
        <w:pStyle w:val="PlainText"/>
        <w:rPr>
          <w:rFonts w:ascii="Courier New" w:hAnsi="Courier New" w:cs="Courier New"/>
        </w:rPr>
      </w:pPr>
    </w:p>
    <w:p w14:paraId="1A18602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lastRenderedPageBreak/>
        <w:t>### 4. Charter for Client &amp; Market Engagement</w:t>
      </w:r>
    </w:p>
    <w:p w14:paraId="342D48F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Client Operations shall govern all interactions with clients, partners, and external stakeholders. It shall oversee:</w:t>
      </w:r>
    </w:p>
    <w:p w14:paraId="4854867E"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Customer onboarding and support systems</w:t>
      </w:r>
    </w:p>
    <w:p w14:paraId="6DB85F0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Sales strategy and partnerships</w:t>
      </w:r>
    </w:p>
    <w:p w14:paraId="55232FF1"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Brand communications and outreach</w:t>
      </w:r>
    </w:p>
    <w:p w14:paraId="41F30FA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Internationalization and localization</w:t>
      </w:r>
    </w:p>
    <w:p w14:paraId="24ABA6F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CRM integration and market feedback loops</w:t>
      </w:r>
    </w:p>
    <w:p w14:paraId="68307DBC" w14:textId="77777777" w:rsidR="00D87157" w:rsidRPr="00D87157" w:rsidRDefault="00D87157" w:rsidP="00D87157">
      <w:pPr>
        <w:pStyle w:val="PlainText"/>
        <w:rPr>
          <w:rFonts w:ascii="Courier New" w:hAnsi="Courier New" w:cs="Courier New"/>
        </w:rPr>
      </w:pPr>
    </w:p>
    <w:p w14:paraId="27547DC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Authority may reside with a Chief Client Officer or be delegated to other Officers by Instruction. In absence, the Department shall default under joint authority of Oversight and the Office of the Founder.</w:t>
      </w:r>
    </w:p>
    <w:p w14:paraId="6F68EA2A" w14:textId="77777777" w:rsidR="00D87157" w:rsidRPr="00D87157" w:rsidRDefault="00D87157" w:rsidP="00D87157">
      <w:pPr>
        <w:pStyle w:val="PlainText"/>
        <w:rPr>
          <w:rFonts w:ascii="Courier New" w:hAnsi="Courier New" w:cs="Courier New"/>
        </w:rPr>
      </w:pPr>
    </w:p>
    <w:p w14:paraId="26EC4F0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5. Charter for Legal &amp; Compliance</w:t>
      </w:r>
    </w:p>
    <w:p w14:paraId="52A0D6D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Legal and Regulatory Compliance shall govern the legal obligations, contractual frameworks, and jurisdictional adherence of DAiIS operations. Responsibilities include:</w:t>
      </w:r>
    </w:p>
    <w:p w14:paraId="7F5E2C3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Contract management and IP protection</w:t>
      </w:r>
    </w:p>
    <w:p w14:paraId="5AD3832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Corporate filings and entity governance</w:t>
      </w:r>
    </w:p>
    <w:p w14:paraId="7F5BB0D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Global compliance across privacy, tax, trade</w:t>
      </w:r>
    </w:p>
    <w:p w14:paraId="7B9CB02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Internal policy enforcement</w:t>
      </w:r>
    </w:p>
    <w:p w14:paraId="451EA5E7"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Litigation response readiness</w:t>
      </w:r>
    </w:p>
    <w:p w14:paraId="43CF71C0" w14:textId="77777777" w:rsidR="00D87157" w:rsidRPr="00D87157" w:rsidRDefault="00D87157" w:rsidP="00D87157">
      <w:pPr>
        <w:pStyle w:val="PlainText"/>
        <w:rPr>
          <w:rFonts w:ascii="Courier New" w:hAnsi="Courier New" w:cs="Courier New"/>
        </w:rPr>
      </w:pPr>
    </w:p>
    <w:p w14:paraId="084B9CA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Execution may be led by a Chief Counsel, legal partner, or Officer acting by Instruction. In absence, this Charter remains unfilled but active, and any legal risk shall be escalated to Oversight.</w:t>
      </w:r>
    </w:p>
    <w:p w14:paraId="57C4AA13" w14:textId="77777777" w:rsidR="00D87157" w:rsidRPr="00D87157" w:rsidRDefault="00D87157" w:rsidP="00D87157">
      <w:pPr>
        <w:pStyle w:val="PlainText"/>
        <w:rPr>
          <w:rFonts w:ascii="Courier New" w:hAnsi="Courier New" w:cs="Courier New"/>
        </w:rPr>
      </w:pPr>
    </w:p>
    <w:p w14:paraId="2EBD6FB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6. Charter for Program Execution and PMO</w:t>
      </w:r>
    </w:p>
    <w:p w14:paraId="3473D75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Strategic Execution shall govern the planning, coordination, and delivery of enterprise-level initiatives and programs. This includes:</w:t>
      </w:r>
    </w:p>
    <w:p w14:paraId="5B19C561"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Work breakdown structures (WBS)</w:t>
      </w:r>
    </w:p>
    <w:p w14:paraId="06B5F5B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Critical path and dependency management</w:t>
      </w:r>
    </w:p>
    <w:p w14:paraId="0DA0B21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Budget and resource allocation</w:t>
      </w:r>
    </w:p>
    <w:p w14:paraId="68DD0E2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Timeline tracking and escalation paths</w:t>
      </w:r>
    </w:p>
    <w:p w14:paraId="03758475" w14:textId="77777777" w:rsidR="00D87157" w:rsidRPr="00D87157" w:rsidRDefault="00D87157" w:rsidP="00D87157">
      <w:pPr>
        <w:pStyle w:val="PlainText"/>
        <w:rPr>
          <w:rFonts w:ascii="Courier New" w:hAnsi="Courier New" w:cs="Courier New"/>
        </w:rPr>
      </w:pPr>
    </w:p>
    <w:p w14:paraId="4E6721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It may be led by a Director of Execution, PMO Lead, or assigned Officer. The Department shall operate under Charter until filled or instructed otherwise by Oversight.</w:t>
      </w:r>
    </w:p>
    <w:p w14:paraId="656F5B76" w14:textId="77777777" w:rsidR="00D87157" w:rsidRPr="00D87157" w:rsidRDefault="00D87157" w:rsidP="00D87157">
      <w:pPr>
        <w:pStyle w:val="PlainText"/>
        <w:rPr>
          <w:rFonts w:ascii="Courier New" w:hAnsi="Courier New" w:cs="Courier New"/>
        </w:rPr>
      </w:pPr>
    </w:p>
    <w:p w14:paraId="7C14A19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7. Charter for Enterprise Risk &amp; Continuity</w:t>
      </w:r>
    </w:p>
    <w:p w14:paraId="3E883B5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Enterprise Risk shall monitor, assess, and report on risks that could materially impact DAiIS operations, reputation, security, or compliance. Scope includes:</w:t>
      </w:r>
    </w:p>
    <w:p w14:paraId="0B59E4B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Risk register stewardship</w:t>
      </w:r>
    </w:p>
    <w:p w14:paraId="12A7B4A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Mitigation strategies and contingency planning</w:t>
      </w:r>
    </w:p>
    <w:p w14:paraId="46C9DCF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Business continuity systems</w:t>
      </w:r>
    </w:p>
    <w:p w14:paraId="492E73A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Cybersecurity posture and threat response</w:t>
      </w:r>
    </w:p>
    <w:p w14:paraId="1616AC0D" w14:textId="77777777" w:rsidR="00D87157" w:rsidRPr="00D87157" w:rsidRDefault="00D87157" w:rsidP="00D87157">
      <w:pPr>
        <w:pStyle w:val="PlainText"/>
        <w:rPr>
          <w:rFonts w:ascii="Courier New" w:hAnsi="Courier New" w:cs="Courier New"/>
        </w:rPr>
      </w:pPr>
    </w:p>
    <w:p w14:paraId="7ED329EA"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Authority may be delegated to a Chief Risk Officer or designated Officer. In absence, risk oversight flows to Oversight Committee with reporting to all active Officers.</w:t>
      </w:r>
    </w:p>
    <w:p w14:paraId="05FBE2E2" w14:textId="77777777" w:rsidR="00D87157" w:rsidRPr="00D87157" w:rsidRDefault="00D87157" w:rsidP="00D87157">
      <w:pPr>
        <w:pStyle w:val="PlainText"/>
        <w:rPr>
          <w:rFonts w:ascii="Courier New" w:hAnsi="Courier New" w:cs="Courier New"/>
        </w:rPr>
      </w:pPr>
    </w:p>
    <w:p w14:paraId="2B3BA8B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2AC4E35A" w14:textId="77777777" w:rsidR="00D87157" w:rsidRPr="00D87157" w:rsidRDefault="00D87157" w:rsidP="00D87157">
      <w:pPr>
        <w:pStyle w:val="PlainText"/>
        <w:rPr>
          <w:rFonts w:ascii="Courier New" w:hAnsi="Courier New" w:cs="Courier New"/>
        </w:rPr>
      </w:pPr>
    </w:p>
    <w:p w14:paraId="5E52D03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III. Amendment Governance</w:t>
      </w:r>
    </w:p>
    <w:p w14:paraId="2A0B4DCA" w14:textId="77777777" w:rsidR="00D87157" w:rsidRPr="00D87157" w:rsidRDefault="00D87157" w:rsidP="00D87157">
      <w:pPr>
        <w:pStyle w:val="PlainText"/>
        <w:rPr>
          <w:rFonts w:ascii="Courier New" w:hAnsi="Courier New" w:cs="Courier New"/>
        </w:rPr>
      </w:pPr>
    </w:p>
    <w:p w14:paraId="0EB3F68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Protocol for Constitutional Change and Amendment</w:t>
      </w:r>
    </w:p>
    <w:p w14:paraId="29048E9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To ensure adaptability, a Change Governance Protocol shall be recognized. It shall define:</w:t>
      </w:r>
    </w:p>
    <w:p w14:paraId="2EDE83D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Who may propose amendments to the Constitution</w:t>
      </w:r>
    </w:p>
    <w:p w14:paraId="2974417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The threshold for ratification (default: 2/3 of active Officers or by Founder's Directive)</w:t>
      </w:r>
    </w:p>
    <w:p w14:paraId="6C00702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Review period and dispute escalation path</w:t>
      </w:r>
    </w:p>
    <w:p w14:paraId="67DCA1E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Version tracking and historical preservation of prior Constitutional states</w:t>
      </w:r>
    </w:p>
    <w:p w14:paraId="163AF04F" w14:textId="77777777" w:rsidR="00D87157" w:rsidRPr="00D87157" w:rsidRDefault="00D87157" w:rsidP="00D87157">
      <w:pPr>
        <w:pStyle w:val="PlainText"/>
        <w:rPr>
          <w:rFonts w:ascii="Courier New" w:hAnsi="Courier New" w:cs="Courier New"/>
        </w:rPr>
      </w:pPr>
    </w:p>
    <w:p w14:paraId="6E21C9A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Until explicitly assigned, the authority to oversee Constitutional amendment rests with the Office of the Founder, in consultation with Oversight.</w:t>
      </w:r>
    </w:p>
    <w:p w14:paraId="21432740" w14:textId="77777777" w:rsidR="00D87157" w:rsidRPr="00D87157" w:rsidRDefault="00D87157" w:rsidP="00D87157">
      <w:pPr>
        <w:pStyle w:val="PlainText"/>
        <w:rPr>
          <w:rFonts w:ascii="Courier New" w:hAnsi="Courier New" w:cs="Courier New"/>
        </w:rPr>
      </w:pPr>
    </w:p>
    <w:p w14:paraId="284592A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1017C053" w14:textId="77777777" w:rsidR="00D87157" w:rsidRPr="00D87157" w:rsidRDefault="00D87157" w:rsidP="00D87157">
      <w:pPr>
        <w:pStyle w:val="PlainText"/>
        <w:rPr>
          <w:rFonts w:ascii="Courier New" w:hAnsi="Courier New" w:cs="Courier New"/>
        </w:rPr>
      </w:pPr>
    </w:p>
    <w:p w14:paraId="7A39F7B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IV. Continuity Clause</w:t>
      </w:r>
    </w:p>
    <w:p w14:paraId="1CE0C681"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All Charters listed herein exist as binding structure whether actively filled or not. Authority may be exercised by delegation, and execution shall persist via documented Instruction, automation, or interim Officer assumption as governed by the master Constitution.</w:t>
      </w:r>
    </w:p>
    <w:p w14:paraId="762BFE21" w14:textId="77777777" w:rsidR="00D87157" w:rsidRPr="00D87157" w:rsidRDefault="00D87157" w:rsidP="00D87157">
      <w:pPr>
        <w:pStyle w:val="PlainText"/>
        <w:rPr>
          <w:rFonts w:ascii="Courier New" w:hAnsi="Courier New" w:cs="Courier New"/>
        </w:rPr>
      </w:pPr>
    </w:p>
    <w:p w14:paraId="10C12BD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5DBB36F6" w14:textId="77777777" w:rsidR="00D87157" w:rsidRPr="00D87157" w:rsidRDefault="00D87157" w:rsidP="00D87157">
      <w:pPr>
        <w:pStyle w:val="PlainText"/>
        <w:rPr>
          <w:rFonts w:ascii="Courier New" w:hAnsi="Courier New" w:cs="Courier New"/>
        </w:rPr>
      </w:pPr>
    </w:p>
    <w:p w14:paraId="72385820" w14:textId="77777777" w:rsidR="00D87157" w:rsidRDefault="00D87157" w:rsidP="00D87157">
      <w:pPr>
        <w:pStyle w:val="PlainText"/>
        <w:rPr>
          <w:rFonts w:ascii="Courier New" w:hAnsi="Courier New" w:cs="Courier New"/>
        </w:rPr>
      </w:pPr>
      <w:r w:rsidRPr="00D87157">
        <w:rPr>
          <w:rFonts w:ascii="Courier New" w:hAnsi="Courier New" w:cs="Courier New"/>
        </w:rPr>
        <w:t>*(End of Operational Edition v1.1)*</w:t>
      </w:r>
    </w:p>
    <w:p>
      <w:r>
        <w:br w:type="page"/>
      </w:r>
    </w:p>
    <w:p>
      <w:r>
        <w:t>Appendix B: Execution Planning Reference</w:t>
        <w:br/>
      </w:r>
    </w:p>
    <w:p>
      <w:r>
        <w:t>This document (DAiIS Constitutional Framework – Operational Edition v1.3) formally recognizes the CHATS Artifact Creation Crosscheck v2.2 as the authorized execution planning framework for the DAU Metaverse (DMV) program.</w:t>
        <w:br/>
        <w:br/>
        <w:t>The CHATS framework governs the creation, versioning, and sequencing of foundational planning artifacts required to operationalize the DAiIS charter. Roles defined in this Constitution are responsible for the oversight, quality assurance, and ratification of outputs managed through the CHATS execution matrix.</w:t>
        <w:br/>
        <w:br/>
        <w:t>All procedural artifacts created under CHATS shall align with the governance principles outlined herein. Any future procedural systems or execution models must be version-controlled, reviewed by appropriate DAiIS chartering bodies, and referenced accordingly in both documents.</w:t>
        <w:br/>
        <w:br/>
        <w:t>Conversely, the CHATS document shall include reference to this DAiIS Constitutional Framework as the originating governance authority, ensuring mutual traceability and system integrity.</w:t>
      </w:r>
    </w:p>
    <w:p>
      <w:r>
        <w:t>Version Updated: v1.3</w:t>
        <w:br/>
        <w:t>Date: 2025-08-17</w:t>
      </w:r>
    </w:p>
    <w:p>
      <w:r>
        <w:br w:type="page"/>
      </w:r>
    </w:p>
    <w:p>
      <w:r>
        <w:t>Appendix C: Integration of Operational Execution Protocol</w:t>
        <w:br/>
      </w:r>
    </w:p>
    <w:p>
      <w:r>
        <w:t>To strengthen continuity, execution reliability, and session resilience within the DAU Metaverse (DMV), this constitutional framework hereby recognizes and integrates select governance-aligned elements from the DAU Operational Execution Protocol (formerly known as the Peace and Love Constitution).</w:t>
        <w:br/>
        <w:br/>
        <w:t>1. Governance Mechanism (GM):</w:t>
        <w:br/>
        <w:t xml:space="preserve">   The GM is defined as the operational supervisory entity responsible for enforcing scope control,    command delegation, and procedural validation within active sessions. The GM acts on behalf of DAiIS    departments to route instructions, monitor compliance, and reset execution in case of agent failure    or thread corruption.</w:t>
        <w:br/>
        <w:br/>
        <w:t>2. Agent-Based Execution:</w:t>
        <w:br/>
        <w:t xml:space="preserve">   DAiIS recognizes that artifact production and interdepartmental actions may be carried out by GPT-based    agents or other AI-enabled actors. Such agents are to operate under conditions defined by the Execution    Protocol, which handles task partitioning, response scope, token limitations, and session handoffs.</w:t>
        <w:br/>
        <w:br/>
        <w:t>3. Execution Continuity Requirement:</w:t>
        <w:br/>
        <w:t xml:space="preserve">   All departments must ensure continuity of deliverables through version-controlled artifacts, documented    session protocols, and clearly scoped objectives. Where AI agents are involved, fallback logic and restart    guidelines defined in the Execution Protocol shall apply.</w:t>
        <w:br/>
        <w:br/>
        <w:t>4. Linkage to Execution Protocol:</w:t>
        <w:br/>
        <w:t xml:space="preserve">   The DAiIS Framework is to be executed in coordination with the DAU Operational Execution Protocol v3.0,    which serves as the live operational layer for managing real-time session data integrity, hallucination    mitigation, memory resets, and task routing. This linkage ensures that governance decisions are enacted    faithfully and persistently, even under session volatility.</w:t>
      </w:r>
    </w:p>
    <w:p>
      <w:r>
        <w:br/>
        <w:t>Version Updated: v1.3</w:t>
        <w:br/>
        <w:t>Date: 2025-08-17</w:t>
      </w:r>
    </w:p>
    <w:sectPr w:rsidR="00D87157" w:rsidSect="00D871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57"/>
    <w:rsid w:val="0047612D"/>
    <w:rsid w:val="00D649EA"/>
    <w:rsid w:val="00D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657D"/>
  <w15:chartTrackingRefBased/>
  <w15:docId w15:val="{2EF3FD31-1654-47B9-BE4C-4BD0FC9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F79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F794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2</cp:revision>
  <dcterms:created xsi:type="dcterms:W3CDTF">2025-08-17T23:39:00Z</dcterms:created>
  <dcterms:modified xsi:type="dcterms:W3CDTF">2025-08-17T23:39:00Z</dcterms:modified>
</cp:coreProperties>
</file>