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F6F3DD" w14:textId="77777777" w:rsidR="00F84551" w:rsidRDefault="00000000">
      <w:pPr>
        <w:spacing w:before="400" w:after="200"/>
      </w:pPr>
      <w:r>
        <w:rPr>
          <w:rFonts w:ascii="Arial" w:eastAsia="Arial" w:hAnsi="Arial" w:cs="Arial"/>
          <w:b/>
          <w:bCs/>
          <w:color w:val="1B3A6B"/>
          <w:sz w:val="38"/>
          <w:szCs w:val="38"/>
        </w:rPr>
        <w:t>EXPERIMENT DESIGN DOCUMENT</w:t>
      </w:r>
    </w:p>
    <w:p w14:paraId="55F623C6" w14:textId="77777777" w:rsidR="00F84551" w:rsidRDefault="00000000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CloudSync SaaS Product Analytics — Recommendation Validation</w:t>
      </w:r>
    </w:p>
    <w:p w14:paraId="5EC74F80" w14:textId="13C199DD" w:rsidR="00F84551" w:rsidRDefault="00000000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Document Type: A/B Test Design Spec  |  Author:</w:t>
      </w:r>
      <w:r w:rsidR="007C16CE">
        <w:rPr>
          <w:rFonts w:ascii="Arial" w:eastAsia="Arial" w:hAnsi="Arial" w:cs="Arial"/>
          <w:color w:val="1A1A1A"/>
          <w:sz w:val="22"/>
          <w:szCs w:val="22"/>
        </w:rPr>
        <w:t xml:space="preserve"> Jatin</w:t>
      </w:r>
      <w:r>
        <w:rPr>
          <w:rFonts w:ascii="Arial" w:eastAsia="Arial" w:hAnsi="Arial" w:cs="Arial"/>
          <w:color w:val="1A1A1A"/>
          <w:sz w:val="22"/>
          <w:szCs w:val="22"/>
        </w:rPr>
        <w:t xml:space="preserve">  |  Date: Q1 2025</w:t>
      </w:r>
    </w:p>
    <w:p w14:paraId="1F41C2E9" w14:textId="77777777" w:rsidR="00F84551" w:rsidRDefault="00F84551">
      <w:pPr>
        <w:pBdr>
          <w:bottom w:val="single" w:sz="4" w:space="1" w:color="DDDDDD"/>
        </w:pBdr>
        <w:spacing w:before="200" w:after="200"/>
      </w:pPr>
    </w:p>
    <w:p w14:paraId="38DF1D37" w14:textId="77777777" w:rsidR="00F84551" w:rsidRDefault="00000000">
      <w:pPr>
        <w:spacing w:before="30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1. BUSINESS CONTEXT</w:t>
      </w:r>
    </w:p>
    <w:p w14:paraId="6270A623" w14:textId="77777777" w:rsidR="00F84551" w:rsidRDefault="00000000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The root-cause investigation confirmed that API Integration Failure resolution time tripled for Enterprise-Outbound accounts in July 2024 — from 65 hours in June to 303 hours in July — and remained above 280 hours through December. This support burden preceded a 15.7% decline in core product engagement and a 27.8% Q4 churn rate versus 10% for the control cohort.</w:t>
      </w:r>
    </w:p>
    <w:p w14:paraId="16A280C8" w14:textId="172E5817" w:rsidR="00F84551" w:rsidRDefault="00000000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The recommended intervention is operational: establish a dedicated support queue for Enterprise-Outbound API Integration Failure tickets with a </w:t>
      </w:r>
      <w:r w:rsidR="007C16CE">
        <w:rPr>
          <w:rFonts w:ascii="Arial" w:eastAsia="Arial" w:hAnsi="Arial" w:cs="Arial"/>
          <w:color w:val="1A1A1A"/>
          <w:sz w:val="22"/>
          <w:szCs w:val="22"/>
        </w:rPr>
        <w:t>&lt;100-hour</w:t>
      </w:r>
      <w:r>
        <w:rPr>
          <w:rFonts w:ascii="Arial" w:eastAsia="Arial" w:hAnsi="Arial" w:cs="Arial"/>
          <w:color w:val="1A1A1A"/>
          <w:sz w:val="22"/>
          <w:szCs w:val="22"/>
        </w:rPr>
        <w:t xml:space="preserve"> SLA target. This removes the primary engagement driver without requiring any engineering work.</w:t>
      </w:r>
    </w:p>
    <w:p w14:paraId="733339FE" w14:textId="77777777" w:rsidR="00F84551" w:rsidRDefault="00000000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Before committing budget and support headcount to this intervention, we need to validate that reducing resolution time actually recovers engagement — not just that the two metrics were correlated.</w:t>
      </w:r>
    </w:p>
    <w:p w14:paraId="0F44AE1A" w14:textId="77777777" w:rsidR="00F84551" w:rsidRDefault="00F84551">
      <w:pPr>
        <w:spacing w:before="100"/>
      </w:pPr>
    </w:p>
    <w:p w14:paraId="58D7D36A" w14:textId="77777777" w:rsidR="00F84551" w:rsidRDefault="00000000">
      <w:pPr>
        <w:spacing w:before="30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2. EXPERIMENT OBJECTIVE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4551" w14:paraId="0E73727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D67DA5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Question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9F119C" w14:textId="6A16ACB3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Does assigning a dedicated </w:t>
            </w:r>
            <w:r w:rsidR="007C16CE">
              <w:rPr>
                <w:rFonts w:ascii="Arial" w:eastAsia="Arial" w:hAnsi="Arial" w:cs="Arial"/>
                <w:color w:val="1A1A1A"/>
                <w:sz w:val="21"/>
                <w:szCs w:val="21"/>
              </w:rPr>
              <w:t>&lt;100-hour</w:t>
            </w:r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 SLA queue for Enterprise-Outbound API Integration Failure tickets cause measurable recovery in core product engagement?</w:t>
            </w:r>
          </w:p>
        </w:tc>
      </w:tr>
      <w:tr w:rsidR="00F84551" w14:paraId="1DCB56D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FA8B60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Hypothesis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C1EDC5" w14:textId="48493B61" w:rsidR="00F84551" w:rsidRDefault="009D247E">
            <w:r w:rsidRPr="009D247E">
              <w:rPr>
                <w:rFonts w:ascii="Arial" w:eastAsia="Arial" w:hAnsi="Arial" w:cs="Arial"/>
                <w:color w:val="1A1A1A"/>
                <w:sz w:val="21"/>
                <w:szCs w:val="21"/>
              </w:rPr>
              <w:t>Reducing API Integration Failure resolution time from ~300 hours to &lt;100 hours</w:t>
            </w:r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 will increase average core_actions_logged per account in the treatment group relative to control.</w:t>
            </w:r>
          </w:p>
        </w:tc>
      </w:tr>
      <w:tr w:rsidR="00F84551" w14:paraId="39637ACB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CF3965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Why this matters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D98F83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Engagement is the leading indicator of renewal. Recovering 50% of the observed 15.7% engagement decline would reduce the next renewal cycle's churn risk from ~28% toward the ~10% Inbound benchmark.</w:t>
            </w:r>
          </w:p>
        </w:tc>
      </w:tr>
    </w:tbl>
    <w:p w14:paraId="386A8E4B" w14:textId="77777777" w:rsidR="00F84551" w:rsidRDefault="00F84551">
      <w:pPr>
        <w:spacing w:before="100"/>
      </w:pPr>
    </w:p>
    <w:p w14:paraId="6AE1B733" w14:textId="77777777" w:rsidR="00F84551" w:rsidRDefault="00000000">
      <w:pPr>
        <w:spacing w:before="30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3. EXPERIMENTAL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4551" w14:paraId="2A31F85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3E0534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Unit of analysis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5A8877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Customer account (account-level randomization — not user-level or ticket-level)</w:t>
            </w:r>
          </w:p>
        </w:tc>
      </w:tr>
      <w:tr w:rsidR="00F84551" w14:paraId="5ECB4BD1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11543C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Treatment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D95CD5" w14:textId="3E46A081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Dedicated support queue for API Integration Failure tickets. SLA target: </w:t>
            </w:r>
            <w:r w:rsidR="007C16CE">
              <w:rPr>
                <w:rFonts w:ascii="Arial" w:eastAsia="Arial" w:hAnsi="Arial" w:cs="Arial"/>
                <w:color w:val="1A1A1A"/>
                <w:sz w:val="21"/>
                <w:szCs w:val="21"/>
              </w:rPr>
              <w:t>&lt;100-hour</w:t>
            </w:r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 resolution. Route to integration specialist team.</w:t>
            </w:r>
          </w:p>
        </w:tc>
      </w:tr>
      <w:tr w:rsidR="00F84551" w14:paraId="329429A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28751B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lastRenderedPageBreak/>
              <w:t>Control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216108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Current process — standard support queue, no dedicated routing, no SLA target.</w:t>
            </w:r>
          </w:p>
        </w:tc>
      </w:tr>
      <w:tr w:rsidR="00F84551" w14:paraId="68F945D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0FAD69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Randomization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7C84A3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Random assignment of Enterprise-Outbound accounts to treatment or control at the start of the experiment. 40 accounts per group (80 total Enterprise-Outbound).</w:t>
            </w:r>
          </w:p>
        </w:tc>
      </w:tr>
      <w:tr w:rsidR="00F84551" w14:paraId="48A5701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F94723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Blinding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2AD120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Partial — customers are not told which group they are in. Support agents know which tickets are in the dedicated queue (operational necessity).</w:t>
            </w:r>
          </w:p>
        </w:tc>
      </w:tr>
    </w:tbl>
    <w:p w14:paraId="0DC94C44" w14:textId="77777777" w:rsidR="00F84551" w:rsidRDefault="00F84551">
      <w:pPr>
        <w:spacing w:before="100"/>
      </w:pPr>
    </w:p>
    <w:p w14:paraId="5FD902FF" w14:textId="33F9F871" w:rsidR="00D73924" w:rsidRPr="00D73924" w:rsidRDefault="00D73924">
      <w:pPr>
        <w:spacing w:before="80" w:after="80"/>
        <w:rPr>
          <w:rFonts w:ascii="Arial" w:eastAsia="Arial" w:hAnsi="Arial" w:cs="Arial"/>
          <w:b/>
          <w:bCs/>
          <w:color w:val="1A1A1A"/>
          <w:sz w:val="22"/>
          <w:szCs w:val="22"/>
        </w:rPr>
      </w:pPr>
      <w:r w:rsidRPr="00D73924">
        <w:rPr>
          <w:rFonts w:ascii="Arial" w:eastAsia="Arial" w:hAnsi="Arial" w:cs="Arial"/>
          <w:b/>
          <w:bCs/>
          <w:color w:val="1A1A1A"/>
          <w:sz w:val="22"/>
          <w:szCs w:val="22"/>
        </w:rPr>
        <w:t>Why &lt;100-hour SLA target?</w:t>
      </w:r>
    </w:p>
    <w:p w14:paraId="444C2998" w14:textId="6EC6E8AC" w:rsidR="008020CE" w:rsidRDefault="008020CE">
      <w:pPr>
        <w:spacing w:before="80" w:after="80"/>
        <w:rPr>
          <w:rFonts w:ascii="Arial" w:eastAsia="Arial" w:hAnsi="Arial" w:cs="Arial"/>
          <w:color w:val="1A1A1A"/>
          <w:sz w:val="22"/>
          <w:szCs w:val="22"/>
        </w:rPr>
      </w:pPr>
      <w:r w:rsidRPr="008020CE">
        <w:rPr>
          <w:rFonts w:ascii="Arial" w:eastAsia="Arial" w:hAnsi="Arial" w:cs="Arial"/>
          <w:color w:val="1A1A1A"/>
          <w:sz w:val="22"/>
          <w:szCs w:val="22"/>
        </w:rPr>
        <w:t>The &lt;100-hour SLA target is derived from the dose-response analysis in the investigation: accounts with average resolution time below 100 hours (Low Burden tier) declined only -9.5%, versus -22.3% for accounts above the 100-hour threshold. The 100-hour mark represents the empirically observed tipping point where support burden begins materially damaging engagement.</w:t>
      </w:r>
    </w:p>
    <w:p w14:paraId="338D0CE3" w14:textId="77777777" w:rsidR="008020CE" w:rsidRDefault="008020CE">
      <w:pPr>
        <w:spacing w:before="80" w:after="80"/>
        <w:rPr>
          <w:rFonts w:ascii="Arial" w:eastAsia="Arial" w:hAnsi="Arial" w:cs="Arial"/>
          <w:color w:val="1A1A1A"/>
          <w:sz w:val="22"/>
          <w:szCs w:val="22"/>
        </w:rPr>
      </w:pPr>
    </w:p>
    <w:p w14:paraId="7E7F8B7D" w14:textId="24073A16" w:rsidR="00F84551" w:rsidRDefault="00000000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Why account-level and not ticket-level randomization: If individual tickets were randomized, the same account could receive fast resolution on one ticket and slow resolution on the next. The engagement signal would be noisy. Account-level assignment means all tickets for a given account receive consistent treatment throughout the experiment.</w:t>
      </w:r>
    </w:p>
    <w:p w14:paraId="7E1742DA" w14:textId="77777777" w:rsidR="00F84551" w:rsidRDefault="00F84551">
      <w:pPr>
        <w:spacing w:before="100"/>
      </w:pPr>
    </w:p>
    <w:p w14:paraId="5D6C9C8E" w14:textId="77777777" w:rsidR="00F84551" w:rsidRDefault="00000000">
      <w:pPr>
        <w:spacing w:before="30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4. METRICS</w:t>
      </w:r>
    </w:p>
    <w:p w14:paraId="2ABEDB10" w14:textId="77777777" w:rsidR="00F84551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1A1A1A"/>
          <w:sz w:val="24"/>
          <w:szCs w:val="24"/>
        </w:rPr>
        <w:t>Primary Metric — What we are trying to move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4551" w14:paraId="017C6BB6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6C8BB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Metric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AF988F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avg core_actions_logged per account per month</w:t>
            </w:r>
          </w:p>
        </w:tc>
      </w:tr>
      <w:tr w:rsidR="00F84551" w14:paraId="790B9FB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3CDCB7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Baseline (H1 2024)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EC29C7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8,902 actions/account/month</w:t>
            </w:r>
          </w:p>
        </w:tc>
      </w:tr>
      <w:tr w:rsidR="00F84551" w14:paraId="7E2D1B7F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FAADD5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Current level (H2 2024)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EB9E85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7,507 actions/account/month</w:t>
            </w:r>
          </w:p>
        </w:tc>
      </w:tr>
      <w:tr w:rsidR="00F84551" w14:paraId="4EDF3FC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84C668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Observed decline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BC5395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1,395 actions (-15.7%)</w:t>
            </w:r>
          </w:p>
        </w:tc>
      </w:tr>
      <w:tr w:rsidR="00F84551" w14:paraId="5DF6FB0F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9E045D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Target recovery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1A4C88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50% of the decline = 697 actions (returning to ~8,204)</w:t>
            </w:r>
          </w:p>
        </w:tc>
      </w:tr>
    </w:tbl>
    <w:p w14:paraId="670A5FD0" w14:textId="77777777" w:rsidR="00F84551" w:rsidRDefault="00F84551">
      <w:pPr>
        <w:spacing w:before="100"/>
      </w:pPr>
    </w:p>
    <w:p w14:paraId="140AA7F3" w14:textId="77777777" w:rsidR="00F84551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1A1A1A"/>
          <w:sz w:val="24"/>
          <w:szCs w:val="24"/>
        </w:rPr>
        <w:t>Secondary Metric — The mechanism we expect to drive 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4551" w14:paraId="22574321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D9D2A4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Metric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72D4B6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avg resolution_time_hrs for API Integration Failure tickets (resolved tickets only)</w:t>
            </w:r>
          </w:p>
        </w:tc>
      </w:tr>
      <w:tr w:rsidR="00F84551" w14:paraId="7F3015A0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B709F4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Baseline (H1 2024)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059B9F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150 hours</w:t>
            </w:r>
          </w:p>
        </w:tc>
      </w:tr>
      <w:tr w:rsidR="00F84551" w14:paraId="763D682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BA867F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Current level (H2 2024)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C69B36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304 hours</w:t>
            </w:r>
          </w:p>
        </w:tc>
      </w:tr>
      <w:tr w:rsidR="00F84551" w14:paraId="5E713B1C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D215B6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SLA target (treatment)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97A3BD" w14:textId="1B1D48CB" w:rsidR="00F84551" w:rsidRDefault="00F14D06">
            <w:r w:rsidRPr="00F14D06">
              <w:rPr>
                <w:rFonts w:ascii="Arial" w:eastAsia="Arial" w:hAnsi="Arial" w:cs="Arial"/>
                <w:color w:val="1A1A1A"/>
                <w:sz w:val="21"/>
                <w:szCs w:val="21"/>
              </w:rPr>
              <w:t>&lt;100 hours</w:t>
            </w:r>
          </w:p>
        </w:tc>
      </w:tr>
      <w:tr w:rsidR="00F84551" w14:paraId="54F34FCF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F59CE1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lastRenderedPageBreak/>
              <w:t>Why it's secondary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90394E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Resolution time is the intervention variable — we are directly controlling it. Engagement is the outcome variable we need to verify moves as a result.</w:t>
            </w:r>
          </w:p>
        </w:tc>
      </w:tr>
    </w:tbl>
    <w:p w14:paraId="15499650" w14:textId="77777777" w:rsidR="00F84551" w:rsidRDefault="00F84551">
      <w:pPr>
        <w:spacing w:before="100"/>
      </w:pPr>
    </w:p>
    <w:p w14:paraId="75CAE166" w14:textId="7A0F6A11" w:rsidR="00D73924" w:rsidRDefault="00D73924" w:rsidP="00D73924">
      <w:pPr>
        <w:spacing w:before="240" w:after="120"/>
      </w:pPr>
      <w:r w:rsidRPr="00D73924">
        <w:rPr>
          <w:rFonts w:ascii="Arial" w:eastAsia="Arial" w:hAnsi="Arial" w:cs="Arial"/>
          <w:b/>
          <w:bCs/>
          <w:color w:val="1A1A1A"/>
          <w:sz w:val="24"/>
          <w:szCs w:val="24"/>
        </w:rPr>
        <w:t>Lagging Business Outcome — What the CEO is actually watching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D73924" w14:paraId="5E7ABE86" w14:textId="77777777" w:rsidTr="00BC420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743D61" w14:textId="77777777" w:rsidR="00D73924" w:rsidRDefault="00D73924" w:rsidP="00BC420C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Metric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6381E4" w14:textId="506E2CF3" w:rsidR="00D73924" w:rsidRDefault="00D73924" w:rsidP="00BC420C">
            <w:r w:rsidRPr="00D73924">
              <w:rPr>
                <w:rFonts w:ascii="Arial" w:eastAsia="Arial" w:hAnsi="Arial" w:cs="Arial"/>
                <w:color w:val="1A1A1A"/>
                <w:sz w:val="21"/>
                <w:szCs w:val="21"/>
              </w:rPr>
              <w:t>Q4 Outbound renewal/churn rate</w:t>
            </w:r>
          </w:p>
        </w:tc>
      </w:tr>
      <w:tr w:rsidR="00D73924" w14:paraId="28034CD8" w14:textId="77777777" w:rsidTr="00BC420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EC0B73" w14:textId="021BB13B" w:rsidR="00D73924" w:rsidRDefault="00D73924" w:rsidP="00BC420C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Current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7FFC6A" w14:textId="2E2DF58E" w:rsidR="00D73924" w:rsidRDefault="00D73924" w:rsidP="00BC420C">
            <w:r w:rsidRPr="00D73924">
              <w:rPr>
                <w:rFonts w:ascii="Arial" w:eastAsia="Arial" w:hAnsi="Arial" w:cs="Arial"/>
                <w:color w:val="1A1A1A"/>
                <w:sz w:val="21"/>
                <w:szCs w:val="21"/>
              </w:rPr>
              <w:t>27.78% (Q4 2024)</w:t>
            </w:r>
          </w:p>
        </w:tc>
      </w:tr>
      <w:tr w:rsidR="00D73924" w14:paraId="30476365" w14:textId="77777777" w:rsidTr="00BC420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A7C852" w14:textId="3A40DBEB" w:rsidR="00D73924" w:rsidRDefault="00D73924" w:rsidP="00BC420C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Expected Range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BCC110" w14:textId="32046029" w:rsidR="00D73924" w:rsidRDefault="00D73924" w:rsidP="00BC420C">
            <w:r w:rsidRPr="00D73924">
              <w:rPr>
                <w:rFonts w:ascii="Arial" w:eastAsia="Arial" w:hAnsi="Arial" w:cs="Arial"/>
                <w:color w:val="1A1A1A"/>
                <w:sz w:val="21"/>
                <w:szCs w:val="21"/>
              </w:rPr>
              <w:t>14–19% if engagement recovery of ≥50% is achieved (conservative midpoint between current rate and Inbound control baseline of 10%)</w:t>
            </w:r>
          </w:p>
        </w:tc>
      </w:tr>
      <w:tr w:rsidR="00D73924" w14:paraId="626DB51C" w14:textId="77777777" w:rsidTr="00BC420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CF8B3" w14:textId="380AE932" w:rsidR="00D73924" w:rsidRDefault="00D73924" w:rsidP="00BC420C">
            <w:r w:rsidRPr="00D73924"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Why it's lagging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9DD128" w14:textId="2905B715" w:rsidR="00D73924" w:rsidRDefault="00D73924" w:rsidP="00BC420C">
            <w:r w:rsidRPr="00D73924">
              <w:rPr>
                <w:rFonts w:ascii="Arial" w:eastAsia="Arial" w:hAnsi="Arial" w:cs="Arial"/>
                <w:color w:val="1A1A1A"/>
                <w:sz w:val="21"/>
                <w:szCs w:val="21"/>
              </w:rPr>
              <w:t>Churn is measured at renewal decision points. A 3-month experiment will not capture a full renewal cycle. Monitor as a 6-month post-experiment signal.</w:t>
            </w:r>
          </w:p>
        </w:tc>
      </w:tr>
      <w:tr w:rsidR="00D73924" w14:paraId="5A215274" w14:textId="77777777" w:rsidTr="00BC420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C9DB40" w14:textId="41AB967E" w:rsidR="00D73924" w:rsidRDefault="00D73924" w:rsidP="00BC420C">
            <w:r w:rsidRPr="00D73924"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Why no direct model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ECE530" w14:textId="5DDD4616" w:rsidR="00D73924" w:rsidRDefault="00D73924" w:rsidP="00BC420C">
            <w:r w:rsidRPr="00D73924">
              <w:rPr>
                <w:rFonts w:ascii="Arial" w:eastAsia="Arial" w:hAnsi="Arial" w:cs="Arial"/>
                <w:color w:val="1A1A1A"/>
                <w:sz w:val="21"/>
                <w:szCs w:val="21"/>
              </w:rPr>
              <w:t>No engagement-to-churn regression exists in the 5-table schema. The expected churn range is inferred from the dose-response pattern and Inbound control benchmark — not a derived formula.</w:t>
            </w:r>
          </w:p>
        </w:tc>
      </w:tr>
    </w:tbl>
    <w:p w14:paraId="569CEFEC" w14:textId="77777777" w:rsidR="00D73924" w:rsidRDefault="00D73924" w:rsidP="00D73924">
      <w:pPr>
        <w:spacing w:before="240" w:after="120"/>
      </w:pPr>
      <w:r>
        <w:rPr>
          <w:rFonts w:ascii="Arial" w:eastAsia="Arial" w:hAnsi="Arial" w:cs="Arial"/>
          <w:b/>
          <w:bCs/>
          <w:color w:val="1A1A1A"/>
          <w:sz w:val="24"/>
          <w:szCs w:val="24"/>
        </w:rPr>
        <w:t>Guardrail Metrics — What must not worsen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560"/>
        <w:gridCol w:w="4000"/>
      </w:tblGrid>
      <w:tr w:rsidR="00D73924" w14:paraId="5F59164B" w14:textId="77777777" w:rsidTr="00BC420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D1B81" w14:textId="77777777" w:rsidR="00D73924" w:rsidRDefault="00D73924" w:rsidP="00BC420C">
            <w:r>
              <w:rPr>
                <w:rFonts w:ascii="Arial" w:eastAsia="Arial" w:hAnsi="Arial" w:cs="Arial"/>
                <w:b/>
                <w:bCs/>
                <w:color w:val="FFFFFF"/>
              </w:rPr>
              <w:t>Guardrail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51DD8" w14:textId="77777777" w:rsidR="00D73924" w:rsidRDefault="00D73924" w:rsidP="00BC420C">
            <w:r>
              <w:rPr>
                <w:rFonts w:ascii="Arial" w:eastAsia="Arial" w:hAnsi="Arial" w:cs="Arial"/>
                <w:b/>
                <w:bCs/>
                <w:color w:val="FFFFFF"/>
              </w:rPr>
              <w:t>Threshold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6DC95" w14:textId="77777777" w:rsidR="00D73924" w:rsidRDefault="00D73924" w:rsidP="00BC420C">
            <w:r>
              <w:rPr>
                <w:rFonts w:ascii="Arial" w:eastAsia="Arial" w:hAnsi="Arial" w:cs="Arial"/>
                <w:b/>
                <w:bCs/>
                <w:color w:val="FFFFFF"/>
              </w:rPr>
              <w:t>Why</w:t>
            </w:r>
          </w:p>
        </w:tc>
      </w:tr>
      <w:tr w:rsidR="00D73924" w14:paraId="07BC1117" w14:textId="77777777" w:rsidTr="00BC420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93719" w14:textId="77777777" w:rsidR="00D73924" w:rsidRDefault="00D73924" w:rsidP="00BC420C">
            <w:r>
              <w:rPr>
                <w:rFonts w:ascii="Arial" w:eastAsia="Arial" w:hAnsi="Arial" w:cs="Arial"/>
                <w:color w:val="1A1A1A"/>
              </w:rPr>
              <w:t>Enterprise-Inbound churn rate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3C3F4" w14:textId="77777777" w:rsidR="00D73924" w:rsidRDefault="00D73924" w:rsidP="00BC420C">
            <w:r>
              <w:rPr>
                <w:rFonts w:ascii="Arial" w:eastAsia="Arial" w:hAnsi="Arial" w:cs="Arial"/>
                <w:color w:val="1A1A1A"/>
              </w:rPr>
              <w:t>Must not increase &gt;2pp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12382" w14:textId="77777777" w:rsidR="00D73924" w:rsidRDefault="00D73924" w:rsidP="00BC420C">
            <w:r>
              <w:rPr>
                <w:rFonts w:ascii="Arial" w:eastAsia="Arial" w:hAnsi="Arial" w:cs="Arial"/>
                <w:color w:val="1A1A1A"/>
              </w:rPr>
              <w:t>Dedicated queue should not deprioritize Inbound accounts</w:t>
            </w:r>
          </w:p>
        </w:tc>
      </w:tr>
      <w:tr w:rsidR="00D73924" w14:paraId="786D5D5F" w14:textId="77777777" w:rsidTr="00BC420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8512F" w14:textId="77777777" w:rsidR="00D73924" w:rsidRDefault="00D73924" w:rsidP="00BC420C">
            <w:r>
              <w:rPr>
                <w:rFonts w:ascii="Arial" w:eastAsia="Arial" w:hAnsi="Arial" w:cs="Arial"/>
                <w:color w:val="1A1A1A"/>
              </w:rPr>
              <w:t>Overall support ticket volume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F49E5" w14:textId="77777777" w:rsidR="00D73924" w:rsidRDefault="00D73924" w:rsidP="00BC420C">
            <w:r>
              <w:rPr>
                <w:rFonts w:ascii="Arial" w:eastAsia="Arial" w:hAnsi="Arial" w:cs="Arial"/>
                <w:color w:val="1A1A1A"/>
              </w:rPr>
              <w:t>Must not increase &gt;20%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2BD86" w14:textId="77777777" w:rsidR="00D73924" w:rsidRDefault="00D73924" w:rsidP="00BC420C">
            <w:r>
              <w:rPr>
                <w:rFonts w:ascii="Arial" w:eastAsia="Arial" w:hAnsi="Arial" w:cs="Arial"/>
                <w:color w:val="1A1A1A"/>
              </w:rPr>
              <w:t>SLA guarantee should not incentivize unnecessary ticket creation</w:t>
            </w:r>
          </w:p>
        </w:tc>
      </w:tr>
      <w:tr w:rsidR="00D73924" w14:paraId="73B26219" w14:textId="77777777" w:rsidTr="00BC420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3FF59" w14:textId="77777777" w:rsidR="00D73924" w:rsidRDefault="00D73924" w:rsidP="00BC420C">
            <w:r>
              <w:rPr>
                <w:rFonts w:ascii="Arial" w:eastAsia="Arial" w:hAnsi="Arial" w:cs="Arial"/>
                <w:color w:val="1A1A1A"/>
              </w:rPr>
              <w:t>Treatment account churn rate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7C5AF" w14:textId="77777777" w:rsidR="00D73924" w:rsidRDefault="00D73924" w:rsidP="00BC420C">
            <w:r>
              <w:rPr>
                <w:rFonts w:ascii="Arial" w:eastAsia="Arial" w:hAnsi="Arial" w:cs="Arial"/>
                <w:color w:val="1A1A1A"/>
              </w:rPr>
              <w:t>Must not exceed control group churn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7A7EF" w14:textId="77777777" w:rsidR="00D73924" w:rsidRDefault="00D73924" w:rsidP="00BC420C">
            <w:r>
              <w:rPr>
                <w:rFonts w:ascii="Arial" w:eastAsia="Arial" w:hAnsi="Arial" w:cs="Arial"/>
                <w:color w:val="1A1A1A"/>
              </w:rPr>
              <w:t>Treatment should reduce or maintain churn, not accelerate it</w:t>
            </w:r>
          </w:p>
        </w:tc>
      </w:tr>
    </w:tbl>
    <w:p w14:paraId="62B93248" w14:textId="77777777" w:rsidR="00D73924" w:rsidRDefault="00D73924">
      <w:pPr>
        <w:spacing w:before="300" w:after="160"/>
        <w:rPr>
          <w:rFonts w:ascii="Arial" w:eastAsia="Arial" w:hAnsi="Arial" w:cs="Arial"/>
          <w:b/>
          <w:bCs/>
          <w:color w:val="1B3A6B"/>
          <w:sz w:val="28"/>
          <w:szCs w:val="28"/>
        </w:rPr>
      </w:pPr>
    </w:p>
    <w:p w14:paraId="47EF1789" w14:textId="4AE588AD" w:rsidR="00F84551" w:rsidRDefault="00000000">
      <w:pPr>
        <w:spacing w:before="30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5. SAMPLE SIZE &amp; STATISTICAL POWER</w:t>
      </w:r>
    </w:p>
    <w:p w14:paraId="3A66B711" w14:textId="77777777" w:rsidR="00F84551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1A1A1A"/>
          <w:sz w:val="24"/>
          <w:szCs w:val="24"/>
        </w:rPr>
        <w:t>The numbers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4551" w14:paraId="4C7E981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89DEEC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Baseline mean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39ABBE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8,902 core actions/account/month (H1 2024 average)</w:t>
            </w:r>
          </w:p>
        </w:tc>
      </w:tr>
      <w:tr w:rsidR="00F84551" w14:paraId="530F4E3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9CFB14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Baseline std deviation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58F081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1,732 actions (observed from H1 data)</w:t>
            </w:r>
          </w:p>
        </w:tc>
      </w:tr>
      <w:tr w:rsidR="00F84551" w14:paraId="203DC88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388D85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Minimum Detectable Effect (MDE)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99CC41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697 actions = 7.8% improvement (50% recovery of the 1,395 action decline)</w:t>
            </w:r>
          </w:p>
        </w:tc>
      </w:tr>
      <w:tr w:rsidR="00F84551" w14:paraId="22F465FF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41F678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Significance level (alpha)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99523A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0.05 — 5% chance of a false positive (concluding the SLA works when it doesn't)</w:t>
            </w:r>
          </w:p>
        </w:tc>
      </w:tr>
      <w:tr w:rsidR="00F84551" w14:paraId="3F4B5A6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F9A2D5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lastRenderedPageBreak/>
              <w:t>Statistical power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E88BE3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0.80 — 80% chance of detecting a true effect of this size</w:t>
            </w:r>
          </w:p>
        </w:tc>
      </w:tr>
      <w:tr w:rsidR="00F84551" w14:paraId="0234C63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D7300D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Required n per group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5B4362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97 account-months per group</w:t>
            </w:r>
          </w:p>
        </w:tc>
      </w:tr>
      <w:tr w:rsidR="00F84551" w14:paraId="7ACD8920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A50DFD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Available accounts per group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1683DE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40 per group (80 total Enterprise-Outbound, split 40/40)</w:t>
            </w:r>
          </w:p>
        </w:tc>
      </w:tr>
      <w:tr w:rsidR="00F84551" w14:paraId="4599DF35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129AA5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Months needed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C38388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97 / 40 = 2.4 months → minimum 3 months of observation</w:t>
            </w:r>
          </w:p>
        </w:tc>
      </w:tr>
      <w:tr w:rsidR="00F84551" w14:paraId="56EEC1E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14D630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Recommended duration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69B26D" w14:textId="4D7E577B" w:rsidR="00F84551" w:rsidRDefault="007C16CE">
            <w:r w:rsidRPr="007C16CE">
              <w:rPr>
                <w:rFonts w:ascii="Arial" w:eastAsia="Arial" w:hAnsi="Arial" w:cs="Arial"/>
                <w:color w:val="1A1A1A"/>
                <w:sz w:val="21"/>
                <w:szCs w:val="21"/>
              </w:rPr>
              <w:t>16 weeks total: 2 weeks setup + randomization, 12 weeks measurement (3 months), Week 15 decision gate</w:t>
            </w:r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 to capture a complete renewal signal</w:t>
            </w:r>
          </w:p>
        </w:tc>
      </w:tr>
    </w:tbl>
    <w:p w14:paraId="2091D7F8" w14:textId="77777777" w:rsidR="00F84551" w:rsidRDefault="00F84551">
      <w:pPr>
        <w:spacing w:before="100"/>
      </w:pPr>
    </w:p>
    <w:p w14:paraId="16171425" w14:textId="77777777" w:rsidR="00F84551" w:rsidRDefault="00000000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How to read MDE: If the true effect of the SLA intervention is at least 697 actions per account per month, this experiment has an 80% chance of detecting it with statistical significance. Effects smaller than 697 actions may exist but this experiment would not be reliably powered to confirm them.</w:t>
      </w:r>
    </w:p>
    <w:p w14:paraId="0E6C9B1F" w14:textId="77777777" w:rsidR="00F84551" w:rsidRDefault="00000000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Why 80% power and not 95%: Higher power requires larger samples. With only 40 accounts per group, requiring 95% power would demand more months of observation than a single renewal cycle. 80% power is the standard for exploratory operational experiments.</w:t>
      </w:r>
    </w:p>
    <w:p w14:paraId="7787B945" w14:textId="77777777" w:rsidR="00F84551" w:rsidRDefault="00F84551">
      <w:pPr>
        <w:spacing w:before="100"/>
      </w:pPr>
    </w:p>
    <w:p w14:paraId="2CDB7112" w14:textId="77777777" w:rsidR="00F84551" w:rsidRDefault="00000000">
      <w:pPr>
        <w:spacing w:before="300" w:after="160"/>
        <w:rPr>
          <w:rFonts w:ascii="Arial" w:eastAsia="Arial" w:hAnsi="Arial" w:cs="Arial"/>
          <w:b/>
          <w:bCs/>
          <w:color w:val="1B3A6B"/>
          <w:sz w:val="28"/>
          <w:szCs w:val="28"/>
        </w:rPr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6. ANALYSIS PLAN</w:t>
      </w:r>
    </w:p>
    <w:p w14:paraId="4DCAF4D7" w14:textId="0593E8EA" w:rsidR="0050380D" w:rsidRPr="0050380D" w:rsidRDefault="0050380D">
      <w:pPr>
        <w:spacing w:before="300" w:after="160"/>
        <w:rPr>
          <w:rFonts w:ascii="Arial" w:eastAsia="Arial" w:hAnsi="Arial" w:cs="Arial"/>
          <w:color w:val="1A1A1A"/>
          <w:sz w:val="21"/>
          <w:szCs w:val="21"/>
        </w:rPr>
      </w:pPr>
      <w:r w:rsidRPr="0050380D">
        <w:rPr>
          <w:rFonts w:ascii="Arial" w:eastAsia="Arial" w:hAnsi="Arial" w:cs="Arial"/>
          <w:color w:val="1A1A1A"/>
          <w:sz w:val="21"/>
          <w:szCs w:val="21"/>
        </w:rPr>
        <w:t>Pre-registration: The hypothesis, primary metric, MDE, significance level, power, and decision rule defined in this document are locked before the experiment begins. Results will be read once — at Week 15. Interim checks are for guardrail monitoring only, not for early stopping on the primary metric.</w:t>
      </w:r>
    </w:p>
    <w:p w14:paraId="798D93AE" w14:textId="77777777" w:rsidR="00F84551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1A1A1A"/>
          <w:sz w:val="24"/>
          <w:szCs w:val="24"/>
        </w:rPr>
        <w:t>Primary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4551" w14:paraId="5215F2D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6779BD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Method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B6277E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Two-sample independent t-test on monthly avg core_actions_logged per account</w:t>
            </w:r>
          </w:p>
        </w:tc>
      </w:tr>
      <w:tr w:rsidR="00F84551" w14:paraId="15C375B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1171A1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Comparison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40F352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Treatment group mean vs Control group mean across the experiment window</w:t>
            </w:r>
          </w:p>
        </w:tc>
      </w:tr>
      <w:tr w:rsidR="00F84551" w14:paraId="451D76C1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87E106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Time window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D05A1B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Months 1-3 of experiment (excluding any accounts that churn — analyze on available data)</w:t>
            </w:r>
          </w:p>
        </w:tc>
      </w:tr>
      <w:tr w:rsidR="00F84551" w14:paraId="6C2F58D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61A5C1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Significance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209636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p &lt; 0.05, two-tailed</w:t>
            </w:r>
          </w:p>
        </w:tc>
      </w:tr>
      <w:tr w:rsidR="00F84551" w14:paraId="779633B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6F943B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Effect size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9685C2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Report Cohen's d alongside p-value. A statistically significant but tiny effect is not operationally meaningful.</w:t>
            </w:r>
          </w:p>
        </w:tc>
      </w:tr>
    </w:tbl>
    <w:p w14:paraId="584B2EA6" w14:textId="77777777" w:rsidR="00F84551" w:rsidRDefault="00F84551">
      <w:pPr>
        <w:spacing w:before="100"/>
      </w:pPr>
    </w:p>
    <w:p w14:paraId="57498C9E" w14:textId="77777777" w:rsidR="00F84551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1A1A1A"/>
          <w:sz w:val="24"/>
          <w:szCs w:val="24"/>
        </w:rPr>
        <w:t>Secondary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4551" w14:paraId="79FF615F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A45BF8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lastRenderedPageBreak/>
              <w:t>Pre-post check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691961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For each group, compare avg actions in experiment months vs H2 2024 baseline. Treatment group should improve; control group should be stable.</w:t>
            </w:r>
          </w:p>
        </w:tc>
      </w:tr>
      <w:tr w:rsidR="00F84551" w14:paraId="4F26266C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47701F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Dose-response replication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543C8" w14:textId="2A0171B3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Within the treatment group, </w:t>
            </w:r>
            <w:r w:rsidR="009D247E" w:rsidRPr="009D247E">
              <w:rPr>
                <w:rFonts w:ascii="Arial" w:eastAsia="Arial" w:hAnsi="Arial" w:cs="Arial"/>
                <w:color w:val="1A1A1A"/>
                <w:sz w:val="21"/>
                <w:szCs w:val="21"/>
              </w:rPr>
              <w:t>do accounts where SLA was actually met (resolution &lt;100 hrs) show more engagement recovery</w:t>
            </w:r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 than accounts where SLA was missed?</w:t>
            </w:r>
          </w:p>
        </w:tc>
      </w:tr>
      <w:tr w:rsidR="00F84551" w14:paraId="52CB6AC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9CE41D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Mechanism validation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7EF12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Confirm resolution time actually dropped for treatment group before interpreting engagement results. If resolution time did not change, the engagement signal is uninterpretable.</w:t>
            </w:r>
          </w:p>
        </w:tc>
      </w:tr>
    </w:tbl>
    <w:p w14:paraId="60CBCA53" w14:textId="77777777" w:rsidR="00F84551" w:rsidRDefault="00F84551">
      <w:pPr>
        <w:spacing w:before="100"/>
      </w:pPr>
    </w:p>
    <w:p w14:paraId="051DCC4A" w14:textId="77777777" w:rsidR="00F84551" w:rsidRDefault="00000000">
      <w:pPr>
        <w:spacing w:before="30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7. RISKS &amp;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4"/>
        <w:gridCol w:w="1366"/>
        <w:gridCol w:w="5160"/>
      </w:tblGrid>
      <w:tr w:rsidR="00F84551" w14:paraId="354B831A" w14:textId="77777777" w:rsidTr="00D73924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2E934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Risk</w:t>
            </w:r>
          </w:p>
        </w:tc>
        <w:tc>
          <w:tcPr>
            <w:tcW w:w="1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9642E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Likelihood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50EF4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Mitigation</w:t>
            </w:r>
          </w:p>
        </w:tc>
      </w:tr>
      <w:tr w:rsidR="00F84551" w14:paraId="40872208" w14:textId="77777777" w:rsidTr="00D73924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15BD5" w14:textId="77777777" w:rsidR="00F84551" w:rsidRDefault="00000000">
            <w:r>
              <w:rPr>
                <w:rFonts w:ascii="Arial" w:eastAsia="Arial" w:hAnsi="Arial" w:cs="Arial"/>
                <w:color w:val="1A1A1A"/>
              </w:rPr>
              <w:t>80 total accounts — small sample</w:t>
            </w:r>
          </w:p>
        </w:tc>
        <w:tc>
          <w:tcPr>
            <w:tcW w:w="1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CB69F" w14:textId="77777777" w:rsidR="00F84551" w:rsidRDefault="00000000">
            <w:r>
              <w:rPr>
                <w:rFonts w:ascii="Arial" w:eastAsia="Arial" w:hAnsi="Arial" w:cs="Arial"/>
                <w:color w:val="1A1A1A"/>
              </w:rPr>
              <w:t>High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6CD19" w14:textId="77777777" w:rsidR="00F84551" w:rsidRDefault="00000000">
            <w:r>
              <w:rPr>
                <w:rFonts w:ascii="Arial" w:eastAsia="Arial" w:hAnsi="Arial" w:cs="Arial"/>
                <w:color w:val="1A1A1A"/>
              </w:rPr>
              <w:t>Use 3 months of observations to increase statistical power. Report confidence intervals, not just p-values.</w:t>
            </w:r>
          </w:p>
        </w:tc>
      </w:tr>
      <w:tr w:rsidR="00F84551" w14:paraId="11FD651D" w14:textId="77777777" w:rsidTr="00D73924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160C1" w14:textId="77777777" w:rsidR="00F84551" w:rsidRDefault="00000000">
            <w:r>
              <w:rPr>
                <w:rFonts w:ascii="Arial" w:eastAsia="Arial" w:hAnsi="Arial" w:cs="Arial"/>
                <w:color w:val="1A1A1A"/>
              </w:rPr>
              <w:t>Novelty effect — treatment accounts may use product more initially just because they notice faster support</w:t>
            </w:r>
          </w:p>
        </w:tc>
        <w:tc>
          <w:tcPr>
            <w:tcW w:w="1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98967" w14:textId="77777777" w:rsidR="00F84551" w:rsidRDefault="00000000">
            <w:r>
              <w:rPr>
                <w:rFonts w:ascii="Arial" w:eastAsia="Arial" w:hAnsi="Arial" w:cs="Arial"/>
                <w:color w:val="1A1A1A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92497" w14:textId="77777777" w:rsidR="00F84551" w:rsidRDefault="00000000">
            <w:r>
              <w:rPr>
                <w:rFonts w:ascii="Arial" w:eastAsia="Arial" w:hAnsi="Arial" w:cs="Arial"/>
                <w:color w:val="1A1A1A"/>
              </w:rPr>
              <w:t>Monitor engagement in month 1 vs months 2-3 separately. If month 1 is higher and trend reverses, flag as novelty effect.</w:t>
            </w:r>
          </w:p>
        </w:tc>
      </w:tr>
      <w:tr w:rsidR="00F84551" w14:paraId="554C8239" w14:textId="77777777" w:rsidTr="00D73924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CBC1D" w14:textId="77777777" w:rsidR="00F84551" w:rsidRDefault="00000000">
            <w:r>
              <w:rPr>
                <w:rFonts w:ascii="Arial" w:eastAsia="Arial" w:hAnsi="Arial" w:cs="Arial"/>
                <w:color w:val="1A1A1A"/>
              </w:rPr>
              <w:t>Contamination — control accounts may hear about the SLA and submit more tickets</w:t>
            </w:r>
          </w:p>
        </w:tc>
        <w:tc>
          <w:tcPr>
            <w:tcW w:w="1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96F51" w14:textId="77777777" w:rsidR="00F84551" w:rsidRDefault="00000000">
            <w:r>
              <w:rPr>
                <w:rFonts w:ascii="Arial" w:eastAsia="Arial" w:hAnsi="Arial" w:cs="Arial"/>
                <w:color w:val="1A1A1A"/>
              </w:rPr>
              <w:t>Low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0348B" w14:textId="77777777" w:rsidR="00F84551" w:rsidRDefault="00000000">
            <w:r>
              <w:rPr>
                <w:rFonts w:ascii="Arial" w:eastAsia="Arial" w:hAnsi="Arial" w:cs="Arial"/>
                <w:color w:val="1A1A1A"/>
              </w:rPr>
              <w:t>Account-level randomization and no customer-facing communication about the experiment reduces this risk.</w:t>
            </w:r>
          </w:p>
        </w:tc>
      </w:tr>
      <w:tr w:rsidR="00F84551" w14:paraId="07694052" w14:textId="77777777" w:rsidTr="00D73924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CBAB7" w14:textId="2548DE99" w:rsidR="00F84551" w:rsidRDefault="009D247E">
            <w:r w:rsidRPr="009D247E">
              <w:rPr>
                <w:rFonts w:ascii="Arial" w:eastAsia="Arial" w:hAnsi="Arial" w:cs="Arial"/>
                <w:color w:val="1A1A1A"/>
              </w:rPr>
              <w:t>SLA not achieved in practice dedicated queue does not actually deliver &lt;100-hr resolution</w:t>
            </w:r>
          </w:p>
        </w:tc>
        <w:tc>
          <w:tcPr>
            <w:tcW w:w="1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401E8" w14:textId="77777777" w:rsidR="00F84551" w:rsidRDefault="00000000">
            <w:r>
              <w:rPr>
                <w:rFonts w:ascii="Arial" w:eastAsia="Arial" w:hAnsi="Arial" w:cs="Arial"/>
                <w:color w:val="1A1A1A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583DC" w14:textId="77777777" w:rsidR="00F84551" w:rsidRDefault="00000000">
            <w:pPr>
              <w:rPr>
                <w:rFonts w:ascii="Arial" w:eastAsia="Arial" w:hAnsi="Arial" w:cs="Arial"/>
                <w:color w:val="1A1A1A"/>
              </w:rPr>
            </w:pPr>
            <w:r>
              <w:rPr>
                <w:rFonts w:ascii="Arial" w:eastAsia="Arial" w:hAnsi="Arial" w:cs="Arial"/>
                <w:color w:val="1A1A1A"/>
              </w:rPr>
              <w:t>Monitor resolution time weekly. If treatment resolution time does not drop below 100 hrs by week 4, pause and investigate the operational setup.</w:t>
            </w:r>
          </w:p>
          <w:p w14:paraId="228D34DC" w14:textId="77777777" w:rsidR="00D73924" w:rsidRDefault="00D73924">
            <w:pPr>
              <w:rPr>
                <w:color w:val="1A1A1A"/>
              </w:rPr>
            </w:pPr>
          </w:p>
          <w:p w14:paraId="6EE6C742" w14:textId="77777777" w:rsidR="00D73924" w:rsidRDefault="00D73924">
            <w:pPr>
              <w:rPr>
                <w:color w:val="1A1A1A"/>
              </w:rPr>
            </w:pPr>
          </w:p>
          <w:p w14:paraId="32C9EBD6" w14:textId="77777777" w:rsidR="00D73924" w:rsidRDefault="00D73924"/>
        </w:tc>
      </w:tr>
      <w:tr w:rsidR="00D73924" w14:paraId="5A73450A" w14:textId="77777777" w:rsidTr="00D73924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05FDE" w14:textId="1FA9C58F" w:rsidR="00D73924" w:rsidRPr="00D73924" w:rsidRDefault="00D73924" w:rsidP="00BC420C">
            <w:pPr>
              <w:rPr>
                <w:rFonts w:ascii="Arial" w:eastAsia="Arial" w:hAnsi="Arial" w:cs="Arial"/>
                <w:color w:val="1A1A1A"/>
              </w:rPr>
            </w:pPr>
            <w:r w:rsidRPr="00D73924">
              <w:rPr>
                <w:rFonts w:ascii="Arial" w:eastAsia="Arial" w:hAnsi="Arial" w:cs="Arial"/>
                <w:color w:val="1A1A1A"/>
              </w:rPr>
              <w:t>Secular trend — CloudSync ships a product update or pricing change during the experiment window that affects all accounts</w:t>
            </w:r>
          </w:p>
        </w:tc>
        <w:tc>
          <w:tcPr>
            <w:tcW w:w="1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A9606" w14:textId="77777777" w:rsidR="00D73924" w:rsidRPr="00D73924" w:rsidRDefault="00D73924" w:rsidP="00BC420C">
            <w:pPr>
              <w:rPr>
                <w:rFonts w:ascii="Arial" w:eastAsia="Arial" w:hAnsi="Arial" w:cs="Arial"/>
                <w:color w:val="1A1A1A"/>
              </w:rPr>
            </w:pPr>
            <w:r>
              <w:rPr>
                <w:rFonts w:ascii="Arial" w:eastAsia="Arial" w:hAnsi="Arial" w:cs="Arial"/>
                <w:color w:val="1A1A1A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71C04" w14:textId="5A3BF093" w:rsidR="00D73924" w:rsidRPr="00D73924" w:rsidRDefault="00D73924" w:rsidP="00BC420C">
            <w:pPr>
              <w:rPr>
                <w:rFonts w:ascii="Arial" w:eastAsia="Arial" w:hAnsi="Arial" w:cs="Arial"/>
                <w:color w:val="1A1A1A"/>
              </w:rPr>
            </w:pPr>
            <w:r w:rsidRPr="00D73924">
              <w:rPr>
                <w:rFonts w:ascii="Arial" w:eastAsia="Arial" w:hAnsi="Arial" w:cs="Arial"/>
                <w:color w:val="1A1A1A"/>
              </w:rPr>
              <w:t>The control group handles this. If engagement improves in both treatment and control, subtract the control group's improvement before interpreting the treatment effect. If a major product release occurs during weeks 3-14, document it and apply difference-in-differences analysis.</w:t>
            </w:r>
          </w:p>
          <w:p w14:paraId="740AB94A" w14:textId="77777777" w:rsidR="00D73924" w:rsidRPr="00D73924" w:rsidRDefault="00D73924" w:rsidP="00BC420C">
            <w:pPr>
              <w:rPr>
                <w:rFonts w:ascii="Arial" w:eastAsia="Arial" w:hAnsi="Arial" w:cs="Arial"/>
                <w:color w:val="1A1A1A"/>
              </w:rPr>
            </w:pPr>
          </w:p>
        </w:tc>
      </w:tr>
      <w:tr w:rsidR="00D73924" w14:paraId="07B069CC" w14:textId="77777777" w:rsidTr="00D73924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8D00A" w14:textId="2C7B6C9C" w:rsidR="00D73924" w:rsidRPr="00D73924" w:rsidRDefault="00D73924" w:rsidP="00BC420C">
            <w:pPr>
              <w:rPr>
                <w:rFonts w:ascii="Arial" w:eastAsia="Arial" w:hAnsi="Arial" w:cs="Arial"/>
                <w:color w:val="1A1A1A"/>
              </w:rPr>
            </w:pPr>
            <w:r w:rsidRPr="00D73924">
              <w:rPr>
                <w:rFonts w:ascii="Arial" w:eastAsia="Arial" w:hAnsi="Arial" w:cs="Arial"/>
                <w:color w:val="1A1A1A"/>
              </w:rPr>
              <w:t>H1 baseline selection effect — accounts that experienced more API failures had slightly higher H1 engagement (9,185 vs 8,490 for low-burden accounts), suggesting pre-existing heterogeneity</w:t>
            </w:r>
          </w:p>
        </w:tc>
        <w:tc>
          <w:tcPr>
            <w:tcW w:w="1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1B385" w14:textId="77777777" w:rsidR="00D73924" w:rsidRPr="00D73924" w:rsidRDefault="00D73924" w:rsidP="00BC420C">
            <w:pPr>
              <w:rPr>
                <w:rFonts w:ascii="Arial" w:eastAsia="Arial" w:hAnsi="Arial" w:cs="Arial"/>
                <w:color w:val="1A1A1A"/>
              </w:rPr>
            </w:pPr>
            <w:r>
              <w:rPr>
                <w:rFonts w:ascii="Arial" w:eastAsia="Arial" w:hAnsi="Arial" w:cs="Arial"/>
                <w:color w:val="1A1A1A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2B396" w14:textId="5E6727C2" w:rsidR="00D73924" w:rsidRPr="00D73924" w:rsidRDefault="00D73924" w:rsidP="00BC420C">
            <w:pPr>
              <w:rPr>
                <w:rFonts w:ascii="Arial" w:eastAsia="Arial" w:hAnsi="Arial" w:cs="Arial"/>
                <w:color w:val="1A1A1A"/>
              </w:rPr>
            </w:pPr>
            <w:r w:rsidRPr="00D73924">
              <w:rPr>
                <w:rFonts w:ascii="Arial" w:eastAsia="Arial" w:hAnsi="Arial" w:cs="Arial"/>
                <w:color w:val="1A1A1A"/>
              </w:rPr>
              <w:t>Randomization is the structural fix. If treatment and control groups are randomly assigned from the same 80-account pool, pre-existing account characteristics are distributed equally across groups. Check balance at experiment start: compare H1 engagement averages for treatment vs control. If they differ by more than 200 actions, re-randomize.</w:t>
            </w:r>
          </w:p>
        </w:tc>
      </w:tr>
    </w:tbl>
    <w:p w14:paraId="6BD53984" w14:textId="77777777" w:rsidR="00F84551" w:rsidRDefault="00F84551">
      <w:pPr>
        <w:spacing w:before="100"/>
      </w:pPr>
    </w:p>
    <w:p w14:paraId="6E0C71D7" w14:textId="77777777" w:rsidR="00F84551" w:rsidRDefault="00000000">
      <w:pPr>
        <w:spacing w:before="30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lastRenderedPageBreak/>
        <w:t>8. DECISION RULE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4551" w14:paraId="542A7EB5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782CBB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If p &lt; 0.05 AND effect &gt; MDE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58E3DE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Implement dedicated queue permanently. Expand to all Enterprise-Inbound accounts in next quarter.</w:t>
            </w:r>
          </w:p>
        </w:tc>
      </w:tr>
      <w:tr w:rsidR="00F84551" w14:paraId="6733917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4BD565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If p &lt; 0.05 AND effect &lt; MDE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467641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Effect is real but small. Investigate whether other factors (product changes, seasonality) are limiting recovery before scaling.</w:t>
            </w:r>
          </w:p>
        </w:tc>
      </w:tr>
      <w:tr w:rsidR="00F84551" w14:paraId="1E0A52B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60C472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If p &gt; 0.05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5D1C0F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Cannot conclude the SLA intervention drives engagement recovery at this sample size. Extend experiment or investigate whether resolution time actually changed in the treatment group.</w:t>
            </w:r>
          </w:p>
        </w:tc>
      </w:tr>
      <w:tr w:rsidR="00F84551" w14:paraId="54DC7A5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138269" w14:textId="77777777" w:rsidR="00F84551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If guardrail is breached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7EA068" w14:textId="77777777" w:rsidR="00F84551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Pause experiment immediately. Prioritize the damaged cohort before continuing.</w:t>
            </w:r>
          </w:p>
        </w:tc>
      </w:tr>
    </w:tbl>
    <w:p w14:paraId="294E3D2A" w14:textId="77777777" w:rsidR="00C1264A" w:rsidRDefault="00C1264A"/>
    <w:sectPr w:rsidR="00C1264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EC38D7"/>
    <w:multiLevelType w:val="hybridMultilevel"/>
    <w:tmpl w:val="81BA416A"/>
    <w:lvl w:ilvl="0" w:tplc="DADA672A">
      <w:start w:val="1"/>
      <w:numFmt w:val="bullet"/>
      <w:lvlText w:val="●"/>
      <w:lvlJc w:val="left"/>
      <w:pPr>
        <w:ind w:left="720" w:hanging="360"/>
      </w:pPr>
    </w:lvl>
    <w:lvl w:ilvl="1" w:tplc="1EBA1250">
      <w:start w:val="1"/>
      <w:numFmt w:val="bullet"/>
      <w:lvlText w:val="○"/>
      <w:lvlJc w:val="left"/>
      <w:pPr>
        <w:ind w:left="1440" w:hanging="360"/>
      </w:pPr>
    </w:lvl>
    <w:lvl w:ilvl="2" w:tplc="C5BA223E">
      <w:start w:val="1"/>
      <w:numFmt w:val="bullet"/>
      <w:lvlText w:val="■"/>
      <w:lvlJc w:val="left"/>
      <w:pPr>
        <w:ind w:left="2160" w:hanging="360"/>
      </w:pPr>
    </w:lvl>
    <w:lvl w:ilvl="3" w:tplc="F8B4CD38">
      <w:start w:val="1"/>
      <w:numFmt w:val="bullet"/>
      <w:lvlText w:val="●"/>
      <w:lvlJc w:val="left"/>
      <w:pPr>
        <w:ind w:left="2880" w:hanging="360"/>
      </w:pPr>
    </w:lvl>
    <w:lvl w:ilvl="4" w:tplc="88406ED0">
      <w:start w:val="1"/>
      <w:numFmt w:val="bullet"/>
      <w:lvlText w:val="○"/>
      <w:lvlJc w:val="left"/>
      <w:pPr>
        <w:ind w:left="3600" w:hanging="360"/>
      </w:pPr>
    </w:lvl>
    <w:lvl w:ilvl="5" w:tplc="7B46C1BE">
      <w:start w:val="1"/>
      <w:numFmt w:val="bullet"/>
      <w:lvlText w:val="■"/>
      <w:lvlJc w:val="left"/>
      <w:pPr>
        <w:ind w:left="4320" w:hanging="360"/>
      </w:pPr>
    </w:lvl>
    <w:lvl w:ilvl="6" w:tplc="49803370">
      <w:start w:val="1"/>
      <w:numFmt w:val="bullet"/>
      <w:lvlText w:val="●"/>
      <w:lvlJc w:val="left"/>
      <w:pPr>
        <w:ind w:left="5040" w:hanging="360"/>
      </w:pPr>
    </w:lvl>
    <w:lvl w:ilvl="7" w:tplc="E03AD2EA">
      <w:start w:val="1"/>
      <w:numFmt w:val="bullet"/>
      <w:lvlText w:val="●"/>
      <w:lvlJc w:val="left"/>
      <w:pPr>
        <w:ind w:left="5760" w:hanging="360"/>
      </w:pPr>
    </w:lvl>
    <w:lvl w:ilvl="8" w:tplc="E54C27FA">
      <w:start w:val="1"/>
      <w:numFmt w:val="bullet"/>
      <w:lvlText w:val="●"/>
      <w:lvlJc w:val="left"/>
      <w:pPr>
        <w:ind w:left="6480" w:hanging="360"/>
      </w:pPr>
    </w:lvl>
  </w:abstractNum>
  <w:num w:numId="1" w16cid:durableId="1019185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551"/>
    <w:rsid w:val="002646C2"/>
    <w:rsid w:val="0050380D"/>
    <w:rsid w:val="007C16CE"/>
    <w:rsid w:val="008020CE"/>
    <w:rsid w:val="009D247E"/>
    <w:rsid w:val="00BE0B27"/>
    <w:rsid w:val="00C1264A"/>
    <w:rsid w:val="00C829F9"/>
    <w:rsid w:val="00D73924"/>
    <w:rsid w:val="00E35E48"/>
    <w:rsid w:val="00F14D06"/>
    <w:rsid w:val="00F31534"/>
    <w:rsid w:val="00F8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F9BB5"/>
  <w15:docId w15:val="{D7E99A7E-156A-4009-B972-4B4B88A3E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92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1489</Words>
  <Characters>8489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JATCHIN Nair</cp:lastModifiedBy>
  <cp:revision>6</cp:revision>
  <dcterms:created xsi:type="dcterms:W3CDTF">2026-05-31T07:45:00Z</dcterms:created>
  <dcterms:modified xsi:type="dcterms:W3CDTF">2026-06-03T16:30:00Z</dcterms:modified>
</cp:coreProperties>
</file>