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My website’s goal is to facilitate communication within a community without having to worry about language being a barrier by providing a message board where the entire conversation is displayed in the user’s nativa language.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Communities that have members that speak different languages. An example can be a diverse neighborhood wishing to have discussions about events going on in their community. Another example could be a business/organization where its teams are based in different parts of the world thus speaking different languages.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plan on using a database that will hold users, communities, posts, comments. The posts and comments will also be stored in all of the languages that that community uses so that all of the messages are displayed in the appropriate language to the user.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Outline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Database schema: Attached below.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Potential issues with API: The translations coming in from the API may not be accurate. Another issue is exceeding the limit of translation for the free tier of the API - if this happens, it’s still not expensive as long as use is moderate.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Sensitive info: Any user that wishes to make a post will have to be authenticated by either signing up or logging in. The creator/moderator of the community will specify whether the community thread is private or public. If the community is set to private, users will have to be authorized to view that communitie’s messages.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app allows users to choose their communities. Some communities will be private, some public and so users will be able to see threads in different communities. An authorized user will be able to comment or post on a thread. Using the google translate API will allow for all of the messages to be displayed in their preferred language.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Any visitor to the site will be greeted by a landing page explaining how the threads work within a community while showcasing the unique languages feature. The unauthenticated user will have the option to visit public communities and its messaging threads. If a user hits the ‘like’ or the reply button, they will be asked to log in or sign up. Upon authentication, a user can comment and like comments in a thread so long as it’s public. If a user wishes to be part of a private community, they will have to ask for permission to join and thus be authorized to participate in that community’s threads.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features for this site are CRUD capabilities while implementing authorization/authentication, connecting to a database, and using an external API.</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905500" cy="765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7658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