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pPr>
      <w:r>
        <w:rPr>
          <w:b/>
          <w:bCs/>
          <w:color w:val="1F4E79"/>
          <w:sz w:val="52"/>
          <w:szCs w:val="52"/>
        </w:rPr>
        <w:t xml:space="preserve">Enterprise Architect Strategy</w:t>
      </w:r>
    </w:p>
    <w:p>
      <w:pPr>
        <w:spacing w:after="120"/>
      </w:pPr>
      <w:r>
        <w:rPr>
          <w:color w:val="5B6572"/>
          <w:sz w:val="28"/>
          <w:szCs w:val="28"/>
        </w:rPr>
        <w:t xml:space="preserve">Session recap and recommended next steps</w:t>
      </w:r>
    </w:p>
    <w:p>
      <w:pPr>
        <w:spacing w:after="360"/>
      </w:pPr>
      <w:r>
        <w:rPr>
          <w:i/>
          <w:iCs/>
          <w:color w:val="5B6572"/>
          <w:sz w:val="22"/>
          <w:szCs w:val="22"/>
        </w:rPr>
        <w:t xml:space="preserve">What has been built, where it stands, and what to do next</w:t>
      </w:r>
    </w:p>
    <w:p>
      <w:pPr>
        <w:pBdr>
          <w:bottom w:val="single" w:color="D9DEE5" w:sz="6"/>
        </w:pBdr>
        <w:spacing w:after="160" w:before="60"/>
      </w:pPr>
    </w:p>
    <w:tbl>
      <w:tblPr>
        <w:tblW w:type="dxa" w:w="9026"/>
        <w:tblBorders>
          <w:top w:val="single" w:color="D9DEE5" w:sz="4"/>
          <w:left w:val="single" w:color="D9DEE5" w:sz="4"/>
          <w:bottom w:val="single" w:color="D9DEE5" w:sz="4"/>
          <w:right w:val="single" w:color="D9DEE5" w:sz="4"/>
          <w:insideH w:val="single" w:color="D9DEE5" w:sz="4"/>
          <w:insideV w:val="single" w:color="D9DEE5" w:sz="4"/>
        </w:tblBorders>
      </w:tblPr>
      <w:tblGrid>
        <w:gridCol w:w="2500"/>
        <w:gridCol w:w="6526"/>
      </w:tblGrid>
      <w:tr>
        <w:trPr>
          <w:tblHeader/>
        </w:trPr>
        <w:tc>
          <w:tcPr>
            <w:tcW w:type="dxa" w:w="2500"/>
            <w:shd w:fill="EDF1F6" w:val="clear"/>
            <w:tcMar>
              <w:top w:type="dxa" w:w="70"/>
              <w:left w:type="dxa" w:w="100"/>
              <w:bottom w:type="dxa" w:w="70"/>
              <w:right w:type="dxa" w:w="100"/>
            </w:tcMar>
          </w:tcPr>
          <w:p>
            <w:pPr>
              <w:spacing w:after="0" w:line="250"/>
            </w:pPr>
            <w:r>
              <w:rPr>
                <w:b/>
                <w:bCs/>
                <w:color w:val="22303F"/>
                <w:sz w:val="18"/>
                <w:szCs w:val="18"/>
              </w:rPr>
              <w:t xml:space="preserve"/>
            </w:r>
          </w:p>
        </w:tc>
        <w:tc>
          <w:tcPr>
            <w:tcW w:type="dxa" w:w="6526"/>
            <w:shd w:fill="EDF1F6" w:val="clear"/>
            <w:tcMar>
              <w:top w:type="dxa" w:w="70"/>
              <w:left w:type="dxa" w:w="100"/>
              <w:bottom w:type="dxa" w:w="70"/>
              <w:right w:type="dxa" w:w="100"/>
            </w:tcMar>
          </w:tcPr>
          <w:p>
            <w:pPr>
              <w:spacing w:after="0" w:line="250"/>
            </w:pPr>
            <w:r>
              <w:rPr>
                <w:b/>
                <w:bCs/>
                <w:color w:val="22303F"/>
                <w:sz w:val="18"/>
                <w:szCs w:val="18"/>
              </w:rPr>
              <w:t xml:space="preserve"/>
            </w:r>
          </w:p>
        </w:tc>
      </w:tr>
      <w:tr>
        <w:tc>
          <w:tcPr>
            <w:tcW w:type="dxa" w:w="2500"/>
            <w:tcMar>
              <w:top w:type="dxa" w:w="70"/>
              <w:left w:type="dxa" w:w="100"/>
              <w:bottom w:type="dxa" w:w="70"/>
              <w:right w:type="dxa" w:w="100"/>
            </w:tcMar>
          </w:tcPr>
          <w:p>
            <w:pPr>
              <w:spacing w:after="0" w:line="250"/>
            </w:pPr>
            <w:r>
              <w:rPr>
                <w:color w:val="1A1A1A"/>
                <w:sz w:val="19"/>
                <w:szCs w:val="19"/>
              </w:rPr>
              <w:t xml:space="preserve">Repository</w:t>
            </w:r>
          </w:p>
        </w:tc>
        <w:tc>
          <w:tcPr>
            <w:tcW w:type="dxa" w:w="6526"/>
            <w:tcMar>
              <w:top w:type="dxa" w:w="70"/>
              <w:left w:type="dxa" w:w="100"/>
              <w:bottom w:type="dxa" w:w="70"/>
              <w:right w:type="dxa" w:w="100"/>
            </w:tcMar>
          </w:tcPr>
          <w:p>
            <w:pPr>
              <w:spacing w:after="0" w:line="250"/>
            </w:pPr>
            <w:r>
              <w:rPr>
                <w:color w:val="1A1A1A"/>
                <w:sz w:val="19"/>
                <w:szCs w:val="19"/>
              </w:rPr>
              <w:t xml:space="preserve">Enterprise-Architect-Strategy-framework</w:t>
            </w:r>
          </w:p>
        </w:tc>
      </w:tr>
      <w:tr>
        <w:tc>
          <w:tcPr>
            <w:tcW w:type="dxa" w:w="2500"/>
            <w:tcMar>
              <w:top w:type="dxa" w:w="70"/>
              <w:left w:type="dxa" w:w="100"/>
              <w:bottom w:type="dxa" w:w="70"/>
              <w:right w:type="dxa" w:w="100"/>
            </w:tcMar>
          </w:tcPr>
          <w:p>
            <w:pPr>
              <w:spacing w:after="0" w:line="250"/>
            </w:pPr>
            <w:r>
              <w:rPr>
                <w:color w:val="1A1A1A"/>
                <w:sz w:val="19"/>
                <w:szCs w:val="19"/>
              </w:rPr>
              <w:t xml:space="preserve">Branch</w:t>
            </w:r>
          </w:p>
        </w:tc>
        <w:tc>
          <w:tcPr>
            <w:tcW w:type="dxa" w:w="6526"/>
            <w:tcMar>
              <w:top w:type="dxa" w:w="70"/>
              <w:left w:type="dxa" w:w="100"/>
              <w:bottom w:type="dxa" w:w="70"/>
              <w:right w:type="dxa" w:w="100"/>
            </w:tcMar>
          </w:tcPr>
          <w:p>
            <w:pPr>
              <w:spacing w:after="0" w:line="250"/>
            </w:pPr>
            <w:r>
              <w:rPr>
                <w:color w:val="1A1A1A"/>
                <w:sz w:val="19"/>
                <w:szCs w:val="19"/>
              </w:rPr>
              <w:t xml:space="preserve">claude/enterprise-architect-strategy-app-8vp6mr</w:t>
            </w:r>
          </w:p>
        </w:tc>
      </w:tr>
      <w:tr>
        <w:tc>
          <w:tcPr>
            <w:tcW w:type="dxa" w:w="2500"/>
            <w:tcMar>
              <w:top w:type="dxa" w:w="70"/>
              <w:left w:type="dxa" w:w="100"/>
              <w:bottom w:type="dxa" w:w="70"/>
              <w:right w:type="dxa" w:w="100"/>
            </w:tcMar>
          </w:tcPr>
          <w:p>
            <w:pPr>
              <w:spacing w:after="0" w:line="250"/>
            </w:pPr>
            <w:r>
              <w:rPr>
                <w:color w:val="1A1A1A"/>
                <w:sz w:val="19"/>
                <w:szCs w:val="19"/>
              </w:rPr>
              <w:t xml:space="preserve">Commits this session</w:t>
            </w:r>
          </w:p>
        </w:tc>
        <w:tc>
          <w:tcPr>
            <w:tcW w:type="dxa" w:w="6526"/>
            <w:tcMar>
              <w:top w:type="dxa" w:w="70"/>
              <w:left w:type="dxa" w:w="100"/>
              <w:bottom w:type="dxa" w:w="70"/>
              <w:right w:type="dxa" w:w="100"/>
            </w:tcMar>
          </w:tcPr>
          <w:p>
            <w:pPr>
              <w:spacing w:after="0" w:line="250"/>
            </w:pPr>
            <w:r>
              <w:rPr>
                <w:color w:val="1A1A1A"/>
                <w:sz w:val="19"/>
                <w:szCs w:val="19"/>
              </w:rPr>
              <w:t xml:space="preserve">7</w:t>
            </w:r>
          </w:p>
        </w:tc>
      </w:tr>
      <w:tr>
        <w:tc>
          <w:tcPr>
            <w:tcW w:type="dxa" w:w="2500"/>
            <w:tcMar>
              <w:top w:type="dxa" w:w="70"/>
              <w:left w:type="dxa" w:w="100"/>
              <w:bottom w:type="dxa" w:w="70"/>
              <w:right w:type="dxa" w:w="100"/>
            </w:tcMar>
          </w:tcPr>
          <w:p>
            <w:pPr>
              <w:spacing w:after="0" w:line="250"/>
            </w:pPr>
            <w:r>
              <w:rPr>
                <w:color w:val="1A1A1A"/>
                <w:sz w:val="19"/>
                <w:szCs w:val="19"/>
              </w:rPr>
              <w:t xml:space="preserve">Engine</w:t>
            </w:r>
          </w:p>
        </w:tc>
        <w:tc>
          <w:tcPr>
            <w:tcW w:type="dxa" w:w="6526"/>
            <w:tcMar>
              <w:top w:type="dxa" w:w="70"/>
              <w:left w:type="dxa" w:w="100"/>
              <w:bottom w:type="dxa" w:w="70"/>
              <w:right w:type="dxa" w:w="100"/>
            </w:tcMar>
          </w:tcPr>
          <w:p>
            <w:pPr>
              <w:spacing w:after="0" w:line="250"/>
            </w:pPr>
            <w:r>
              <w:rPr>
                <w:color w:val="1A1A1A"/>
                <w:sz w:val="19"/>
                <w:szCs w:val="19"/>
              </w:rPr>
              <w:t xml:space="preserve">9 domains, 34 options, 62 capabilities, 33 cross-domain rules</w:t>
            </w:r>
          </w:p>
        </w:tc>
      </w:tr>
      <w:tr>
        <w:tc>
          <w:tcPr>
            <w:tcW w:type="dxa" w:w="2500"/>
            <w:tcMar>
              <w:top w:type="dxa" w:w="70"/>
              <w:left w:type="dxa" w:w="100"/>
              <w:bottom w:type="dxa" w:w="70"/>
              <w:right w:type="dxa" w:w="100"/>
            </w:tcMar>
          </w:tcPr>
          <w:p>
            <w:pPr>
              <w:spacing w:after="0" w:line="250"/>
            </w:pPr>
            <w:r>
              <w:rPr>
                <w:color w:val="1A1A1A"/>
                <w:sz w:val="19"/>
                <w:szCs w:val="19"/>
              </w:rPr>
              <w:t xml:space="preserve">Team</w:t>
            </w:r>
          </w:p>
        </w:tc>
        <w:tc>
          <w:tcPr>
            <w:tcW w:type="dxa" w:w="6526"/>
            <w:tcMar>
              <w:top w:type="dxa" w:w="70"/>
              <w:left w:type="dxa" w:w="100"/>
              <w:bottom w:type="dxa" w:w="70"/>
              <w:right w:type="dxa" w:w="100"/>
            </w:tcMar>
          </w:tcPr>
          <w:p>
            <w:pPr>
              <w:spacing w:after="0" w:line="250"/>
            </w:pPr>
            <w:r>
              <w:rPr>
                <w:color w:val="1A1A1A"/>
                <w:sz w:val="19"/>
                <w:szCs w:val="19"/>
              </w:rPr>
              <w:t xml:space="preserve">1 Master, 13 Domain Architects, 80 SMEs (94 agent definitions)</w:t>
            </w:r>
          </w:p>
        </w:tc>
      </w:tr>
      <w:tr>
        <w:tc>
          <w:tcPr>
            <w:tcW w:type="dxa" w:w="2500"/>
            <w:tcMar>
              <w:top w:type="dxa" w:w="70"/>
              <w:left w:type="dxa" w:w="100"/>
              <w:bottom w:type="dxa" w:w="70"/>
              <w:right w:type="dxa" w:w="100"/>
            </w:tcMar>
          </w:tcPr>
          <w:p>
            <w:pPr>
              <w:spacing w:after="0" w:line="250"/>
            </w:pPr>
            <w:r>
              <w:rPr>
                <w:color w:val="1A1A1A"/>
                <w:sz w:val="19"/>
                <w:szCs w:val="19"/>
              </w:rPr>
              <w:t xml:space="preserve">SME content</w:t>
            </w:r>
          </w:p>
        </w:tc>
        <w:tc>
          <w:tcPr>
            <w:tcW w:type="dxa" w:w="6526"/>
            <w:tcMar>
              <w:top w:type="dxa" w:w="70"/>
              <w:left w:type="dxa" w:w="100"/>
              <w:bottom w:type="dxa" w:w="70"/>
              <w:right w:type="dxa" w:w="100"/>
            </w:tcMar>
          </w:tcPr>
          <w:p>
            <w:pPr>
              <w:spacing w:after="0" w:line="250"/>
            </w:pPr>
            <w:r>
              <w:rPr>
                <w:color w:val="1A1A1A"/>
                <w:sz w:val="19"/>
                <w:szCs w:val="19"/>
              </w:rPr>
              <w:t xml:space="preserve">321 explicit refusals to assume, 240 standing questions with named owners</w:t>
            </w:r>
          </w:p>
        </w:tc>
      </w:tr>
      <w:tr>
        <w:tc>
          <w:tcPr>
            <w:tcW w:type="dxa" w:w="2500"/>
            <w:tcMar>
              <w:top w:type="dxa" w:w="70"/>
              <w:left w:type="dxa" w:w="100"/>
              <w:bottom w:type="dxa" w:w="70"/>
              <w:right w:type="dxa" w:w="100"/>
            </w:tcMar>
          </w:tcPr>
          <w:p>
            <w:pPr>
              <w:spacing w:after="0" w:line="250"/>
            </w:pPr>
            <w:r>
              <w:rPr>
                <w:color w:val="1A1A1A"/>
                <w:sz w:val="19"/>
                <w:szCs w:val="19"/>
              </w:rPr>
              <w:t xml:space="preserve">Test suite</w:t>
            </w:r>
          </w:p>
        </w:tc>
        <w:tc>
          <w:tcPr>
            <w:tcW w:type="dxa" w:w="6526"/>
            <w:tcMar>
              <w:top w:type="dxa" w:w="70"/>
              <w:left w:type="dxa" w:w="100"/>
              <w:bottom w:type="dxa" w:w="70"/>
              <w:right w:type="dxa" w:w="100"/>
            </w:tcMar>
          </w:tcPr>
          <w:p>
            <w:pPr>
              <w:spacing w:after="0" w:line="250"/>
            </w:pPr>
            <w:r>
              <w:rPr>
                <w:color w:val="1A1A1A"/>
                <w:sz w:val="19"/>
                <w:szCs w:val="19"/>
              </w:rPr>
              <w:t xml:space="preserve">62 automated tests, all passing</w:t>
            </w:r>
          </w:p>
        </w:tc>
      </w:tr>
      <w:tr>
        <w:tc>
          <w:tcPr>
            <w:tcW w:type="dxa" w:w="2500"/>
            <w:tcMar>
              <w:top w:type="dxa" w:w="70"/>
              <w:left w:type="dxa" w:w="100"/>
              <w:bottom w:type="dxa" w:w="70"/>
              <w:right w:type="dxa" w:w="100"/>
            </w:tcMar>
          </w:tcPr>
          <w:p>
            <w:pPr>
              <w:spacing w:after="0" w:line="250"/>
            </w:pPr>
            <w:r>
              <w:rPr>
                <w:color w:val="1A1A1A"/>
                <w:sz w:val="19"/>
                <w:szCs w:val="19"/>
              </w:rPr>
              <w:t xml:space="preserve">Runtime</w:t>
            </w:r>
          </w:p>
        </w:tc>
        <w:tc>
          <w:tcPr>
            <w:tcW w:type="dxa" w:w="6526"/>
            <w:tcMar>
              <w:top w:type="dxa" w:w="70"/>
              <w:left w:type="dxa" w:w="100"/>
              <w:bottom w:type="dxa" w:w="70"/>
              <w:right w:type="dxa" w:w="100"/>
            </w:tcMar>
          </w:tcPr>
          <w:p>
            <w:pPr>
              <w:spacing w:after="0" w:line="250"/>
            </w:pPr>
            <w:r>
              <w:rPr>
                <w:color w:val="1A1A1A"/>
                <w:sz w:val="19"/>
                <w:szCs w:val="19"/>
              </w:rPr>
              <w:t xml:space="preserve">Python 3.9+ standard library only — no dependencies</w:t>
            </w:r>
          </w:p>
        </w:tc>
      </w:tr>
    </w:tbl>
    <w:p>
      <w:r>
        <w:br w:type="page"/>
      </w:r>
    </w:p>
    <w:p>
      <w:pPr>
        <w:pStyle w:val="Heading1"/>
        <w:spacing w:after="160" w:before="360"/>
      </w:pPr>
      <w:r>
        <w:rPr>
          <w:b/>
          <w:bCs/>
          <w:color w:val="1F4E79"/>
          <w:sz w:val="30"/>
          <w:szCs w:val="30"/>
        </w:rPr>
        <w:t xml:space="preserve">1. Where we are</w:t>
      </w:r>
    </w:p>
    <w:p>
      <w:pPr>
        <w:pBdr>
          <w:left w:val="single" w:color="1F4E79" w:sz="18"/>
        </w:pBdr>
        <w:shd w:fill="EFF4FA" w:val="clear"/>
        <w:spacing w:after="160" w:before="100" w:line="276"/>
        <w:ind w:left="170" w:right="170"/>
      </w:pPr>
      <w:r>
        <w:rPr>
          <w:color w:val="18324D"/>
          <w:sz w:val="20"/>
          <w:szCs w:val="20"/>
        </w:rPr>
        <w:t xml:space="preserve">The framework is a working proof of concept. It runs end to end, deterministically, in under a fifth of a second. The content is a considered starting position rather than settled organisational doctrine — the next phase is calibration and connection to real pattern data.</w:t>
      </w:r>
    </w:p>
    <w:p>
      <w:pPr>
        <w:pStyle w:val="Heading2"/>
        <w:spacing w:after="120" w:before="280"/>
      </w:pPr>
      <w:r>
        <w:rPr>
          <w:b/>
          <w:bCs/>
          <w:color w:val="1F4E79"/>
          <w:sz w:val="24"/>
          <w:szCs w:val="24"/>
        </w:rPr>
        <w:t xml:space="preserve">1.1 What was built, in the order it was built</w:t>
      </w:r>
    </w:p>
    <w:tbl>
      <w:tblPr>
        <w:tblW w:type="dxa" w:w="9026"/>
        <w:tblBorders>
          <w:top w:val="single" w:color="D9DEE5" w:sz="4"/>
          <w:left w:val="single" w:color="D9DEE5" w:sz="4"/>
          <w:bottom w:val="single" w:color="D9DEE5" w:sz="4"/>
          <w:right w:val="single" w:color="D9DEE5" w:sz="4"/>
          <w:insideH w:val="single" w:color="D9DEE5" w:sz="4"/>
          <w:insideV w:val="single" w:color="D9DEE5" w:sz="4"/>
        </w:tblBorders>
      </w:tblPr>
      <w:tblGrid>
        <w:gridCol w:w="1900"/>
        <w:gridCol w:w="3700"/>
        <w:gridCol w:w="3426"/>
      </w:tblGrid>
      <w:tr>
        <w:trPr>
          <w:tblHeader/>
        </w:trPr>
        <w:tc>
          <w:tcPr>
            <w:tcW w:type="dxa" w:w="1900"/>
            <w:shd w:fill="EDF1F6" w:val="clear"/>
            <w:tcMar>
              <w:top w:type="dxa" w:w="70"/>
              <w:left w:type="dxa" w:w="100"/>
              <w:bottom w:type="dxa" w:w="70"/>
              <w:right w:type="dxa" w:w="100"/>
            </w:tcMar>
          </w:tcPr>
          <w:p>
            <w:pPr>
              <w:spacing w:after="0" w:line="250"/>
            </w:pPr>
            <w:r>
              <w:rPr>
                <w:b/>
                <w:bCs/>
                <w:color w:val="22303F"/>
                <w:sz w:val="18"/>
                <w:szCs w:val="18"/>
              </w:rPr>
              <w:t xml:space="preserve">Commit</w:t>
            </w:r>
          </w:p>
        </w:tc>
        <w:tc>
          <w:tcPr>
            <w:tcW w:type="dxa" w:w="3700"/>
            <w:shd w:fill="EDF1F6" w:val="clear"/>
            <w:tcMar>
              <w:top w:type="dxa" w:w="70"/>
              <w:left w:type="dxa" w:w="100"/>
              <w:bottom w:type="dxa" w:w="70"/>
              <w:right w:type="dxa" w:w="100"/>
            </w:tcMar>
          </w:tcPr>
          <w:p>
            <w:pPr>
              <w:spacing w:after="0" w:line="250"/>
            </w:pPr>
            <w:r>
              <w:rPr>
                <w:b/>
                <w:bCs/>
                <w:color w:val="22303F"/>
                <w:sz w:val="18"/>
                <w:szCs w:val="18"/>
              </w:rPr>
              <w:t xml:space="preserve">What it did</w:t>
            </w:r>
          </w:p>
        </w:tc>
        <w:tc>
          <w:tcPr>
            <w:tcW w:type="dxa" w:w="3426"/>
            <w:shd w:fill="EDF1F6" w:val="clear"/>
            <w:tcMar>
              <w:top w:type="dxa" w:w="70"/>
              <w:left w:type="dxa" w:w="100"/>
              <w:bottom w:type="dxa" w:w="70"/>
              <w:right w:type="dxa" w:w="100"/>
            </w:tcMar>
          </w:tcPr>
          <w:p>
            <w:pPr>
              <w:spacing w:after="0" w:line="250"/>
            </w:pPr>
            <w:r>
              <w:rPr>
                <w:b/>
                <w:bCs/>
                <w:color w:val="22303F"/>
                <w:sz w:val="18"/>
                <w:szCs w:val="18"/>
              </w:rPr>
              <w:t xml:space="preserve">Why it mattered</w:t>
            </w:r>
          </w:p>
        </w:tc>
      </w:tr>
      <w:tr>
        <w:tc>
          <w:tcPr>
            <w:tcW w:type="dxa" w:w="1900"/>
            <w:tcMar>
              <w:top w:type="dxa" w:w="70"/>
              <w:left w:type="dxa" w:w="100"/>
              <w:bottom w:type="dxa" w:w="70"/>
              <w:right w:type="dxa" w:w="100"/>
            </w:tcMar>
          </w:tcPr>
          <w:p>
            <w:pPr>
              <w:spacing w:after="0" w:line="250"/>
            </w:pPr>
            <w:r>
              <w:rPr>
                <w:color w:val="1A1A1A"/>
                <w:sz w:val="19"/>
                <w:szCs w:val="19"/>
              </w:rPr>
              <w:t xml:space="preserve">Initial POC</w:t>
            </w:r>
          </w:p>
        </w:tc>
        <w:tc>
          <w:tcPr>
            <w:tcW w:type="dxa" w:w="3700"/>
            <w:tcMar>
              <w:top w:type="dxa" w:w="70"/>
              <w:left w:type="dxa" w:w="100"/>
              <w:bottom w:type="dxa" w:w="70"/>
              <w:right w:type="dxa" w:w="100"/>
            </w:tcMar>
          </w:tcPr>
          <w:p>
            <w:pPr>
              <w:spacing w:after="0" w:line="250"/>
            </w:pPr>
            <w:r>
              <w:rPr>
                <w:color w:val="1A1A1A"/>
                <w:sz w:val="19"/>
                <w:szCs w:val="19"/>
              </w:rPr>
              <w:t xml:space="preserve">Engine, 9 validator domains, 32 options, orchestrator, renderers, CLI, web UI, 3 briefs, tests</w:t>
            </w:r>
          </w:p>
        </w:tc>
        <w:tc>
          <w:tcPr>
            <w:tcW w:type="dxa" w:w="3426"/>
            <w:tcMar>
              <w:top w:type="dxa" w:w="70"/>
              <w:left w:type="dxa" w:w="100"/>
              <w:bottom w:type="dxa" w:w="70"/>
              <w:right w:type="dxa" w:w="100"/>
            </w:tcMar>
          </w:tcPr>
          <w:p>
            <w:pPr>
              <w:spacing w:after="0" w:line="250"/>
            </w:pPr>
            <w:r>
              <w:rPr>
                <w:color w:val="1A1A1A"/>
                <w:sz w:val="19"/>
                <w:szCs w:val="19"/>
              </w:rPr>
              <w:t xml:space="preserve">Proved the core mechanism works: deterministic reconciliation with decomposable scores</w:t>
            </w:r>
          </w:p>
        </w:tc>
      </w:tr>
      <w:tr>
        <w:tc>
          <w:tcPr>
            <w:tcW w:type="dxa" w:w="1900"/>
            <w:tcMar>
              <w:top w:type="dxa" w:w="70"/>
              <w:left w:type="dxa" w:w="100"/>
              <w:bottom w:type="dxa" w:w="70"/>
              <w:right w:type="dxa" w:w="100"/>
            </w:tcMar>
          </w:tcPr>
          <w:p>
            <w:pPr>
              <w:spacing w:after="0" w:line="250"/>
            </w:pPr>
            <w:r>
              <w:rPr>
                <w:color w:val="1A1A1A"/>
                <w:sz w:val="19"/>
                <w:szCs w:val="19"/>
              </w:rPr>
              <w:t xml:space="preserve">Logging rebinding</w:t>
            </w:r>
          </w:p>
        </w:tc>
        <w:tc>
          <w:tcPr>
            <w:tcW w:type="dxa" w:w="3700"/>
            <w:tcMar>
              <w:top w:type="dxa" w:w="70"/>
              <w:left w:type="dxa" w:w="100"/>
              <w:bottom w:type="dxa" w:w="70"/>
              <w:right w:type="dxa" w:w="100"/>
            </w:tcMar>
          </w:tcPr>
          <w:p>
            <w:pPr>
              <w:spacing w:after="0" w:line="250"/>
            </w:pPr>
            <w:r>
              <w:rPr>
                <w:color w:val="1A1A1A"/>
                <w:sz w:val="19"/>
                <w:szCs w:val="19"/>
              </w:rPr>
              <w:t xml:space="preserve">Rewired to the organisation's three-type ownership model (Type 1 monitoring, Type 2 governance, Type 3 owner). 16 options remapped.</w:t>
            </w:r>
          </w:p>
        </w:tc>
        <w:tc>
          <w:tcPr>
            <w:tcW w:type="dxa" w:w="3426"/>
            <w:tcMar>
              <w:top w:type="dxa" w:w="70"/>
              <w:left w:type="dxa" w:w="100"/>
              <w:bottom w:type="dxa" w:w="70"/>
              <w:right w:type="dxa" w:w="100"/>
            </w:tcMar>
          </w:tcPr>
          <w:p>
            <w:pPr>
              <w:spacing w:after="0" w:line="250"/>
            </w:pPr>
            <w:r>
              <w:rPr>
                <w:color w:val="1A1A1A"/>
                <w:sz w:val="19"/>
                <w:szCs w:val="19"/>
              </w:rPr>
              <w:t xml:space="preserve">The ownership model changed what a domain is even permitted to require. No brief can mandate Type 1; ingestion compatibility became the load-bearing property.</w:t>
            </w:r>
          </w:p>
        </w:tc>
      </w:tr>
      <w:tr>
        <w:tc>
          <w:tcPr>
            <w:tcW w:type="dxa" w:w="1900"/>
            <w:tcMar>
              <w:top w:type="dxa" w:w="70"/>
              <w:left w:type="dxa" w:w="100"/>
              <w:bottom w:type="dxa" w:w="70"/>
              <w:right w:type="dxa" w:w="100"/>
            </w:tcMar>
          </w:tcPr>
          <w:p>
            <w:pPr>
              <w:spacing w:after="0" w:line="250"/>
            </w:pPr>
            <w:r>
              <w:rPr>
                <w:color w:val="1A1A1A"/>
                <w:sz w:val="19"/>
                <w:szCs w:val="19"/>
              </w:rPr>
              <w:t xml:space="preserve">Team restructure</w:t>
            </w:r>
          </w:p>
        </w:tc>
        <w:tc>
          <w:tcPr>
            <w:tcW w:type="dxa" w:w="3700"/>
            <w:tcMar>
              <w:top w:type="dxa" w:w="70"/>
              <w:left w:type="dxa" w:w="100"/>
              <w:bottom w:type="dxa" w:w="70"/>
              <w:right w:type="dxa" w:w="100"/>
            </w:tcMar>
          </w:tcPr>
          <w:p>
            <w:pPr>
              <w:spacing w:after="0" w:line="250"/>
            </w:pPr>
            <w:r>
              <w:rPr>
                <w:color w:val="1A1A1A"/>
                <w:sz w:val="19"/>
                <w:szCs w:val="19"/>
              </w:rPr>
              <w:t xml:space="preserve">Flat skill set replaced by 3-tier org: master, 12 domain architects, 67 SMEs, generated from catalogue/org/</w:t>
            </w:r>
          </w:p>
        </w:tc>
        <w:tc>
          <w:tcPr>
            <w:tcW w:type="dxa" w:w="3426"/>
            <w:tcMar>
              <w:top w:type="dxa" w:w="70"/>
              <w:left w:type="dxa" w:w="100"/>
              <w:bottom w:type="dxa" w:w="70"/>
              <w:right w:type="dxa" w:w="100"/>
            </w:tcMar>
          </w:tcPr>
          <w:p>
            <w:pPr>
              <w:spacing w:after="0" w:line="250"/>
            </w:pPr>
            <w:r>
              <w:rPr>
                <w:color w:val="1A1A1A"/>
                <w:sz w:val="19"/>
                <w:szCs w:val="19"/>
              </w:rPr>
              <w:t xml:space="preserve">SME depth with orchestration. Isolation, escalation and the never-assume rule enforced identically across all agents.</w:t>
            </w:r>
          </w:p>
        </w:tc>
      </w:tr>
      <w:tr>
        <w:tc>
          <w:tcPr>
            <w:tcW w:type="dxa" w:w="1900"/>
            <w:tcMar>
              <w:top w:type="dxa" w:w="70"/>
              <w:left w:type="dxa" w:w="100"/>
              <w:bottom w:type="dxa" w:w="70"/>
              <w:right w:type="dxa" w:w="100"/>
            </w:tcMar>
          </w:tcPr>
          <w:p>
            <w:pPr>
              <w:spacing w:after="0" w:line="250"/>
            </w:pPr>
            <w:r>
              <w:rPr>
                <w:color w:val="1A1A1A"/>
                <w:sz w:val="19"/>
                <w:szCs w:val="19"/>
              </w:rPr>
              <w:t xml:space="preserve">Setup document + worked examples</w:t>
            </w:r>
          </w:p>
        </w:tc>
        <w:tc>
          <w:tcPr>
            <w:tcW w:type="dxa" w:w="3700"/>
            <w:tcMar>
              <w:top w:type="dxa" w:w="70"/>
              <w:left w:type="dxa" w:w="100"/>
              <w:bottom w:type="dxa" w:w="70"/>
              <w:right w:type="dxa" w:w="100"/>
            </w:tcMar>
          </w:tcPr>
          <w:p>
            <w:pPr>
              <w:spacing w:after="0" w:line="250"/>
            </w:pPr>
            <w:r>
              <w:rPr>
                <w:color w:val="1A1A1A"/>
                <w:sz w:val="19"/>
                <w:szCs w:val="19"/>
              </w:rPr>
              <w:t xml:space="preserve">docs/eas-setup-and-flow.docx; SASE and agentic-SDLC briefs run end to end</w:t>
            </w:r>
          </w:p>
        </w:tc>
        <w:tc>
          <w:tcPr>
            <w:tcW w:type="dxa" w:w="3426"/>
            <w:tcMar>
              <w:top w:type="dxa" w:w="70"/>
              <w:left w:type="dxa" w:w="100"/>
              <w:bottom w:type="dxa" w:w="70"/>
              <w:right w:type="dxa" w:w="100"/>
            </w:tcMar>
          </w:tcPr>
          <w:p>
            <w:pPr>
              <w:spacing w:after="0" w:line="250"/>
            </w:pPr>
            <w:r>
              <w:rPr>
                <w:color w:val="1A1A1A"/>
                <w:sz w:val="19"/>
                <w:szCs w:val="19"/>
              </w:rPr>
              <w:t xml:space="preserve">Documented the flow with hand-offs, showed the framework finding an Assumed dependency neither domain could see alone</w:t>
            </w:r>
          </w:p>
        </w:tc>
      </w:tr>
      <w:tr>
        <w:tc>
          <w:tcPr>
            <w:tcW w:type="dxa" w:w="1900"/>
            <w:tcMar>
              <w:top w:type="dxa" w:w="70"/>
              <w:left w:type="dxa" w:w="100"/>
              <w:bottom w:type="dxa" w:w="70"/>
              <w:right w:type="dxa" w:w="100"/>
            </w:tcMar>
          </w:tcPr>
          <w:p>
            <w:pPr>
              <w:spacing w:after="0" w:line="250"/>
            </w:pPr>
            <w:r>
              <w:rPr>
                <w:color w:val="1A1A1A"/>
                <w:sz w:val="19"/>
                <w:szCs w:val="19"/>
              </w:rPr>
              <w:t xml:space="preserve">Setup scripts</w:t>
            </w:r>
          </w:p>
        </w:tc>
        <w:tc>
          <w:tcPr>
            <w:tcW w:type="dxa" w:w="3700"/>
            <w:tcMar>
              <w:top w:type="dxa" w:w="70"/>
              <w:left w:type="dxa" w:w="100"/>
              <w:bottom w:type="dxa" w:w="70"/>
              <w:right w:type="dxa" w:w="100"/>
            </w:tcMar>
          </w:tcPr>
          <w:p>
            <w:pPr>
              <w:spacing w:after="0" w:line="250"/>
            </w:pPr>
            <w:r>
              <w:rPr>
                <w:color w:val="1A1A1A"/>
                <w:sz w:val="19"/>
                <w:szCs w:val="19"/>
              </w:rPr>
              <w:t xml:space="preserve">setup.sh and setup.ps1 verify without installing; --docs for optional extras</w:t>
            </w:r>
          </w:p>
        </w:tc>
        <w:tc>
          <w:tcPr>
            <w:tcW w:type="dxa" w:w="3426"/>
            <w:tcMar>
              <w:top w:type="dxa" w:w="70"/>
              <w:left w:type="dxa" w:w="100"/>
              <w:bottom w:type="dxa" w:w="70"/>
              <w:right w:type="dxa" w:w="100"/>
            </w:tcMar>
          </w:tcPr>
          <w:p>
            <w:pPr>
              <w:spacing w:after="0" w:line="250"/>
            </w:pPr>
            <w:r>
              <w:rPr>
                <w:color w:val="1A1A1A"/>
                <w:sz w:val="19"/>
                <w:szCs w:val="19"/>
              </w:rPr>
              <w:t xml:space="preserve">Honoured the zero-dependency design as a design rule, not a limitation</w:t>
            </w:r>
          </w:p>
        </w:tc>
      </w:tr>
      <w:tr>
        <w:tc>
          <w:tcPr>
            <w:tcW w:type="dxa" w:w="1900"/>
            <w:tcMar>
              <w:top w:type="dxa" w:w="70"/>
              <w:left w:type="dxa" w:w="100"/>
              <w:bottom w:type="dxa" w:w="70"/>
              <w:right w:type="dxa" w:w="100"/>
            </w:tcMar>
          </w:tcPr>
          <w:p>
            <w:pPr>
              <w:spacing w:after="0" w:line="250"/>
            </w:pPr>
            <w:r>
              <w:rPr>
                <w:color w:val="1A1A1A"/>
                <w:sz w:val="19"/>
                <w:szCs w:val="19"/>
              </w:rPr>
              <w:t xml:space="preserve">Cloud domain</w:t>
            </w:r>
          </w:p>
        </w:tc>
        <w:tc>
          <w:tcPr>
            <w:tcW w:type="dxa" w:w="3700"/>
            <w:tcMar>
              <w:top w:type="dxa" w:w="70"/>
              <w:left w:type="dxa" w:w="100"/>
              <w:bottom w:type="dxa" w:w="70"/>
              <w:right w:type="dxa" w:w="100"/>
            </w:tcMar>
          </w:tcPr>
          <w:p>
            <w:pPr>
              <w:spacing w:after="0" w:line="250"/>
            </w:pPr>
            <w:r>
              <w:rPr>
                <w:color w:val="1A1A1A"/>
                <w:sz w:val="19"/>
                <w:szCs w:val="19"/>
              </w:rPr>
              <w:t xml:space="preserve">Cloud promoted from one SME to a full domain of 12; INFRA re-scoped to traditional; taxonomy now 13 domains</w:t>
            </w:r>
          </w:p>
        </w:tc>
        <w:tc>
          <w:tcPr>
            <w:tcW w:type="dxa" w:w="3426"/>
            <w:tcMar>
              <w:top w:type="dxa" w:w="70"/>
              <w:left w:type="dxa" w:w="100"/>
              <w:bottom w:type="dxa" w:w="70"/>
              <w:right w:type="dxa" w:w="100"/>
            </w:tcMar>
          </w:tcPr>
          <w:p>
            <w:pPr>
              <w:spacing w:after="0" w:line="250"/>
            </w:pPr>
            <w:r>
              <w:rPr>
                <w:color w:val="1A1A1A"/>
                <w:sz w:val="19"/>
                <w:szCs w:val="19"/>
              </w:rPr>
              <w:t xml:space="preserve">SASE and agentic examples exposed that cloud buried under SAE was too thin for real multi-cloud work</w:t>
            </w:r>
          </w:p>
        </w:tc>
      </w:tr>
      <w:tr>
        <w:tc>
          <w:tcPr>
            <w:tcW w:type="dxa" w:w="1900"/>
            <w:tcMar>
              <w:top w:type="dxa" w:w="70"/>
              <w:left w:type="dxa" w:w="100"/>
              <w:bottom w:type="dxa" w:w="70"/>
              <w:right w:type="dxa" w:w="100"/>
            </w:tcMar>
          </w:tcPr>
          <w:p>
            <w:pPr>
              <w:spacing w:after="0" w:line="250"/>
            </w:pPr>
            <w:r>
              <w:rPr>
                <w:color w:val="1A1A1A"/>
                <w:sz w:val="19"/>
                <w:szCs w:val="19"/>
              </w:rPr>
              <w:t xml:space="preserve">Briefing document</w:t>
            </w:r>
          </w:p>
        </w:tc>
        <w:tc>
          <w:tcPr>
            <w:tcW w:type="dxa" w:w="3700"/>
            <w:tcMar>
              <w:top w:type="dxa" w:w="70"/>
              <w:left w:type="dxa" w:w="100"/>
              <w:bottom w:type="dxa" w:w="70"/>
              <w:right w:type="dxa" w:w="100"/>
            </w:tcMar>
          </w:tcPr>
          <w:p>
            <w:pPr>
              <w:spacing w:after="0" w:line="250"/>
            </w:pPr>
            <w:r>
              <w:rPr>
                <w:color w:val="1A1A1A"/>
                <w:sz w:val="19"/>
                <w:szCs w:val="19"/>
              </w:rPr>
              <w:t xml:space="preserve">docs/eas-briefing.docx — the case for adoption, 4 decisions requested</w:t>
            </w:r>
          </w:p>
        </w:tc>
        <w:tc>
          <w:tcPr>
            <w:tcW w:type="dxa" w:w="3426"/>
            <w:tcMar>
              <w:top w:type="dxa" w:w="70"/>
              <w:left w:type="dxa" w:w="100"/>
              <w:bottom w:type="dxa" w:w="70"/>
              <w:right w:type="dxa" w:w="100"/>
            </w:tcMar>
          </w:tcPr>
          <w:p>
            <w:pPr>
              <w:spacing w:after="0" w:line="250"/>
            </w:pPr>
            <w:r>
              <w:rPr>
                <w:color w:val="1A1A1A"/>
                <w:sz w:val="19"/>
                <w:szCs w:val="19"/>
              </w:rPr>
              <w:t xml:space="preserve">For someone deciding, not someone running. Every figure read live from the repo.</w:t>
            </w:r>
          </w:p>
        </w:tc>
      </w:tr>
    </w:tbl>
    <w:p>
      <w:pPr>
        <w:pStyle w:val="Heading2"/>
        <w:spacing w:after="120" w:before="280"/>
      </w:pPr>
      <w:r>
        <w:rPr>
          <w:b/>
          <w:bCs/>
          <w:color w:val="1F4E79"/>
          <w:sz w:val="24"/>
          <w:szCs w:val="24"/>
        </w:rPr>
        <w:t xml:space="preserve">1.2 Design decisions taken (worth stating explicitly)</w:t>
      </w:r>
    </w:p>
    <w:p>
      <w:pPr>
        <w:pStyle w:val="ListParagraph"/>
        <w:numPr>
          <w:ilvl w:val="0"/>
          <w:numId w:val="2"/>
        </w:numPr>
        <w:spacing w:after="80" w:line="276"/>
      </w:pPr>
      <w:r>
        <w:rPr>
          <w:color w:val="1A1A1A"/>
          <w:sz w:val="21"/>
          <w:szCs w:val="21"/>
        </w:rPr>
        <w:t xml:space="preserve">The engine is deterministic. Same catalogue, brief, overrides and pins → same base plate. This is protected as a design rule.</w:t>
      </w:r>
    </w:p>
    <w:p>
      <w:pPr>
        <w:pStyle w:val="ListParagraph"/>
        <w:numPr>
          <w:ilvl w:val="0"/>
          <w:numId w:val="2"/>
        </w:numPr>
        <w:spacing w:after="80" w:line="276"/>
      </w:pPr>
      <w:r>
        <w:rPr>
          <w:color w:val="1A1A1A"/>
          <w:sz w:val="21"/>
          <w:szCs w:val="21"/>
        </w:rPr>
        <w:t xml:space="preserve">The catalogue is data, not code. Domain expertise lives in JSON files. Nothing in eas/ hard-codes an option id.</w:t>
      </w:r>
    </w:p>
    <w:p>
      <w:pPr>
        <w:pStyle w:val="ListParagraph"/>
        <w:numPr>
          <w:ilvl w:val="0"/>
          <w:numId w:val="2"/>
        </w:numPr>
        <w:spacing w:after="80" w:line="276"/>
      </w:pPr>
      <w:r>
        <w:rPr>
          <w:color w:val="1A1A1A"/>
          <w:sz w:val="21"/>
          <w:szCs w:val="21"/>
        </w:rPr>
        <w:t xml:space="preserve">The framework has no dependencies. Standard-library Python only, no network access at runtime, dashboard self-contained. Runs on a locked-down laptop.</w:t>
      </w:r>
    </w:p>
    <w:p>
      <w:pPr>
        <w:pStyle w:val="ListParagraph"/>
        <w:numPr>
          <w:ilvl w:val="0"/>
          <w:numId w:val="2"/>
        </w:numPr>
        <w:spacing w:after="80" w:line="276"/>
      </w:pPr>
      <w:r>
        <w:rPr>
          <w:color w:val="1A1A1A"/>
          <w:sz w:val="21"/>
          <w:szCs w:val="21"/>
        </w:rPr>
        <w:t xml:space="preserve">Cloud is a separate domain from traditional infrastructure. The split is enforced by test: SME sets stay disjoint.</w:t>
      </w:r>
    </w:p>
    <w:p>
      <w:pPr>
        <w:pStyle w:val="ListParagraph"/>
        <w:numPr>
          <w:ilvl w:val="0"/>
          <w:numId w:val="2"/>
        </w:numPr>
        <w:spacing w:after="80" w:line="276"/>
      </w:pPr>
      <w:r>
        <w:rPr>
          <w:color w:val="1A1A1A"/>
          <w:sz w:val="21"/>
          <w:szCs w:val="21"/>
        </w:rPr>
        <w:t xml:space="preserve">Every project is isolated. No project reads another. Path escapes refused rather than resolved.</w:t>
      </w:r>
    </w:p>
    <w:p>
      <w:pPr>
        <w:pStyle w:val="ListParagraph"/>
        <w:numPr>
          <w:ilvl w:val="0"/>
          <w:numId w:val="2"/>
        </w:numPr>
        <w:spacing w:after="80" w:line="276"/>
      </w:pPr>
      <w:r>
        <w:rPr>
          <w:color w:val="1A1A1A"/>
          <w:sz w:val="21"/>
          <w:szCs w:val="21"/>
        </w:rPr>
        <w:t xml:space="preserve">Agents are generated from the catalogue. The routing protocol is stamped identically into all 94, so an SME's understanding of when to escalate cannot drift from its Architect's understanding of when to accept.</w:t>
      </w:r>
    </w:p>
    <w:p>
      <w:pPr>
        <w:pStyle w:val="Heading2"/>
        <w:spacing w:after="120" w:before="280"/>
      </w:pPr>
      <w:r>
        <w:rPr>
          <w:b/>
          <w:bCs/>
          <w:color w:val="1F4E79"/>
          <w:sz w:val="24"/>
          <w:szCs w:val="24"/>
        </w:rPr>
        <w:t xml:space="preserve">1.3 Decisions parked, deliberately</w:t>
      </w:r>
    </w:p>
    <w:p>
      <w:pPr>
        <w:pStyle w:val="ListParagraph"/>
        <w:numPr>
          <w:ilvl w:val="0"/>
          <w:numId w:val="2"/>
        </w:numPr>
        <w:spacing w:after="80" w:line="276"/>
      </w:pPr>
      <w:r>
        <w:rPr>
          <w:color w:val="1A1A1A"/>
          <w:sz w:val="21"/>
          <w:szCs w:val="21"/>
        </w:rPr>
        <w:t xml:space="preserve">Cross-project conflict detection. Each project records its catalogue fingerprint, which is the prerequisite. Out of scope for this phase.</w:t>
      </w:r>
    </w:p>
    <w:p>
      <w:pPr>
        <w:pStyle w:val="ListParagraph"/>
        <w:numPr>
          <w:ilvl w:val="0"/>
          <w:numId w:val="2"/>
        </w:numPr>
        <w:spacing w:after="80" w:line="276"/>
      </w:pPr>
      <w:r>
        <w:rPr>
          <w:color w:val="1A1A1A"/>
          <w:sz w:val="21"/>
          <w:szCs w:val="21"/>
        </w:rPr>
        <w:t xml:space="preserve">A pattern library populated from vendor blueprints and internal architecture-as-code. Design settled (see section 3); build not started.</w:t>
      </w:r>
    </w:p>
    <w:p>
      <w:pPr>
        <w:pStyle w:val="ListParagraph"/>
        <w:numPr>
          <w:ilvl w:val="0"/>
          <w:numId w:val="2"/>
        </w:numPr>
        <w:spacing w:after="80" w:line="276"/>
      </w:pPr>
      <w:r>
        <w:rPr>
          <w:color w:val="1A1A1A"/>
          <w:sz w:val="21"/>
          <w:szCs w:val="21"/>
        </w:rPr>
        <w:t xml:space="preserve">A local LLM behind the SME agents. Design settled; will follow the pattern library.</w:t>
      </w:r>
    </w:p>
    <w:p>
      <w:pPr>
        <w:pStyle w:val="ListParagraph"/>
        <w:numPr>
          <w:ilvl w:val="0"/>
          <w:numId w:val="2"/>
        </w:numPr>
        <w:spacing w:after="80" w:line="276"/>
      </w:pPr>
      <w:r>
        <w:rPr>
          <w:color w:val="1A1A1A"/>
          <w:sz w:val="21"/>
          <w:szCs w:val="21"/>
        </w:rPr>
        <w:t xml:space="preserve">Deployment-challenge interrogation of individual patterns. The observation and pattern_relation tables are in the schema for it; the surface is not built.</w:t>
      </w:r>
    </w:p>
    <w:p>
      <w:r>
        <w:br w:type="page"/>
      </w:r>
    </w:p>
    <w:p>
      <w:pPr>
        <w:pStyle w:val="Heading1"/>
        <w:spacing w:after="160" w:before="360"/>
      </w:pPr>
      <w:r>
        <w:rPr>
          <w:b/>
          <w:bCs/>
          <w:color w:val="1F4E79"/>
          <w:sz w:val="30"/>
          <w:szCs w:val="30"/>
        </w:rPr>
        <w:t xml:space="preserve">2. State of the repository</w:t>
      </w:r>
    </w:p>
    <w:p>
      <w:pPr>
        <w:pStyle w:val="Heading2"/>
        <w:spacing w:after="120" w:before="280"/>
      </w:pPr>
      <w:r>
        <w:rPr>
          <w:b/>
          <w:bCs/>
          <w:color w:val="1F4E79"/>
          <w:sz w:val="24"/>
          <w:szCs w:val="24"/>
        </w:rPr>
        <w:t xml:space="preserve">2.1 What is complete</w:t>
      </w:r>
    </w:p>
    <w:tbl>
      <w:tblPr>
        <w:tblW w:type="dxa" w:w="9026"/>
        <w:tblBorders>
          <w:top w:val="single" w:color="D9DEE5" w:sz="4"/>
          <w:left w:val="single" w:color="D9DEE5" w:sz="4"/>
          <w:bottom w:val="single" w:color="D9DEE5" w:sz="4"/>
          <w:right w:val="single" w:color="D9DEE5" w:sz="4"/>
          <w:insideH w:val="single" w:color="D9DEE5" w:sz="4"/>
          <w:insideV w:val="single" w:color="D9DEE5" w:sz="4"/>
        </w:tblBorders>
      </w:tblPr>
      <w:tblGrid>
        <w:gridCol w:w="1900"/>
        <w:gridCol w:w="1900"/>
        <w:gridCol w:w="5226"/>
      </w:tblGrid>
      <w:tr>
        <w:trPr>
          <w:tblHeader/>
        </w:trPr>
        <w:tc>
          <w:tcPr>
            <w:tcW w:type="dxa" w:w="1900"/>
            <w:shd w:fill="EDF1F6" w:val="clear"/>
            <w:tcMar>
              <w:top w:type="dxa" w:w="70"/>
              <w:left w:type="dxa" w:w="100"/>
              <w:bottom w:type="dxa" w:w="70"/>
              <w:right w:type="dxa" w:w="100"/>
            </w:tcMar>
          </w:tcPr>
          <w:p>
            <w:pPr>
              <w:spacing w:after="0" w:line="250"/>
            </w:pPr>
            <w:r>
              <w:rPr>
                <w:b/>
                <w:bCs/>
                <w:color w:val="22303F"/>
                <w:sz w:val="18"/>
                <w:szCs w:val="18"/>
              </w:rPr>
              <w:t xml:space="preserve">Component</w:t>
            </w:r>
          </w:p>
        </w:tc>
        <w:tc>
          <w:tcPr>
            <w:tcW w:type="dxa" w:w="1900"/>
            <w:shd w:fill="EDF1F6" w:val="clear"/>
            <w:tcMar>
              <w:top w:type="dxa" w:w="70"/>
              <w:left w:type="dxa" w:w="100"/>
              <w:bottom w:type="dxa" w:w="70"/>
              <w:right w:type="dxa" w:w="100"/>
            </w:tcMar>
          </w:tcPr>
          <w:p>
            <w:pPr>
              <w:spacing w:after="0" w:line="250"/>
            </w:pPr>
            <w:r>
              <w:rPr>
                <w:b/>
                <w:bCs/>
                <w:color w:val="22303F"/>
                <w:sz w:val="18"/>
                <w:szCs w:val="18"/>
              </w:rPr>
              <w:t xml:space="preserve">State</w:t>
            </w:r>
          </w:p>
        </w:tc>
        <w:tc>
          <w:tcPr>
            <w:tcW w:type="dxa" w:w="5226"/>
            <w:shd w:fill="EDF1F6" w:val="clear"/>
            <w:tcMar>
              <w:top w:type="dxa" w:w="70"/>
              <w:left w:type="dxa" w:w="100"/>
              <w:bottom w:type="dxa" w:w="70"/>
              <w:right w:type="dxa" w:w="100"/>
            </w:tcMar>
          </w:tcPr>
          <w:p>
            <w:pPr>
              <w:spacing w:after="0" w:line="250"/>
            </w:pPr>
            <w:r>
              <w:rPr>
                <w:b/>
                <w:bCs/>
                <w:color w:val="22303F"/>
                <w:sz w:val="18"/>
                <w:szCs w:val="18"/>
              </w:rPr>
              <w:t xml:space="preserve">Notes</w:t>
            </w:r>
          </w:p>
        </w:tc>
      </w:tr>
      <w:tr>
        <w:tc>
          <w:tcPr>
            <w:tcW w:type="dxa" w:w="1900"/>
            <w:tcMar>
              <w:top w:type="dxa" w:w="70"/>
              <w:left w:type="dxa" w:w="100"/>
              <w:bottom w:type="dxa" w:w="70"/>
              <w:right w:type="dxa" w:w="100"/>
            </w:tcMar>
          </w:tcPr>
          <w:p>
            <w:pPr>
              <w:spacing w:after="0" w:line="250"/>
            </w:pPr>
            <w:r>
              <w:rPr>
                <w:color w:val="1A1A1A"/>
                <w:sz w:val="19"/>
                <w:szCs w:val="19"/>
              </w:rPr>
              <w:t xml:space="preserve">Engine (eas/)</w:t>
            </w:r>
          </w:p>
        </w:tc>
        <w:tc>
          <w:tcPr>
            <w:tcW w:type="dxa" w:w="1900"/>
            <w:tcMar>
              <w:top w:type="dxa" w:w="70"/>
              <w:left w:type="dxa" w:w="100"/>
              <w:bottom w:type="dxa" w:w="70"/>
              <w:right w:type="dxa" w:w="100"/>
            </w:tcMar>
          </w:tcPr>
          <w:p>
            <w:pPr>
              <w:spacing w:after="0" w:line="250"/>
            </w:pPr>
            <w:r>
              <w:rPr>
                <w:color w:val="1A1A1A"/>
                <w:sz w:val="19"/>
                <w:szCs w:val="19"/>
              </w:rPr>
              <w:t xml:space="preserve">Complete</w:t>
            </w:r>
          </w:p>
        </w:tc>
        <w:tc>
          <w:tcPr>
            <w:tcW w:type="dxa" w:w="5226"/>
            <w:tcMar>
              <w:top w:type="dxa" w:w="70"/>
              <w:left w:type="dxa" w:w="100"/>
              <w:bottom w:type="dxa" w:w="70"/>
              <w:right w:type="dxa" w:w="100"/>
            </w:tcMar>
          </w:tcPr>
          <w:p>
            <w:pPr>
              <w:spacing w:after="0" w:line="250"/>
            </w:pPr>
            <w:r>
              <w:rPr>
                <w:color w:val="1A1A1A"/>
                <w:sz w:val="19"/>
                <w:szCs w:val="19"/>
              </w:rPr>
              <w:t xml:space="preserve">Intake, selector, orchestrator, roadmap, renderers, CLI, stdlib web UI. Runs a full assessment in &lt;0.2s.</w:t>
            </w:r>
          </w:p>
        </w:tc>
      </w:tr>
      <w:tr>
        <w:tc>
          <w:tcPr>
            <w:tcW w:type="dxa" w:w="1900"/>
            <w:tcMar>
              <w:top w:type="dxa" w:w="70"/>
              <w:left w:type="dxa" w:w="100"/>
              <w:bottom w:type="dxa" w:w="70"/>
              <w:right w:type="dxa" w:w="100"/>
            </w:tcMar>
          </w:tcPr>
          <w:p>
            <w:pPr>
              <w:spacing w:after="0" w:line="250"/>
            </w:pPr>
            <w:r>
              <w:rPr>
                <w:color w:val="1A1A1A"/>
                <w:sz w:val="19"/>
                <w:szCs w:val="19"/>
              </w:rPr>
              <w:t xml:space="preserve">Catalogue</w:t>
            </w:r>
          </w:p>
        </w:tc>
        <w:tc>
          <w:tcPr>
            <w:tcW w:type="dxa" w:w="1900"/>
            <w:tcMar>
              <w:top w:type="dxa" w:w="70"/>
              <w:left w:type="dxa" w:w="100"/>
              <w:bottom w:type="dxa" w:w="70"/>
              <w:right w:type="dxa" w:w="100"/>
            </w:tcMar>
          </w:tcPr>
          <w:p>
            <w:pPr>
              <w:spacing w:after="0" w:line="250"/>
            </w:pPr>
            <w:r>
              <w:rPr>
                <w:color w:val="1A1A1A"/>
                <w:sz w:val="19"/>
                <w:szCs w:val="19"/>
              </w:rPr>
              <w:t xml:space="preserve">Complete for the POC</w:t>
            </w:r>
          </w:p>
        </w:tc>
        <w:tc>
          <w:tcPr>
            <w:tcW w:type="dxa" w:w="5226"/>
            <w:tcMar>
              <w:top w:type="dxa" w:w="70"/>
              <w:left w:type="dxa" w:w="100"/>
              <w:bottom w:type="dxa" w:w="70"/>
              <w:right w:type="dxa" w:w="100"/>
            </w:tcMar>
          </w:tcPr>
          <w:p>
            <w:pPr>
              <w:spacing w:after="0" w:line="250"/>
            </w:pPr>
            <w:r>
              <w:rPr>
                <w:color w:val="1A1A1A"/>
                <w:sz w:val="19"/>
                <w:szCs w:val="19"/>
              </w:rPr>
              <w:t xml:space="preserve">9 validator domains, 34 options, 62 capabilities, 33 rules, 28 signals. Content is a starting position, not doctrine.</w:t>
            </w:r>
          </w:p>
        </w:tc>
      </w:tr>
      <w:tr>
        <w:tc>
          <w:tcPr>
            <w:tcW w:type="dxa" w:w="1900"/>
            <w:tcMar>
              <w:top w:type="dxa" w:w="70"/>
              <w:left w:type="dxa" w:w="100"/>
              <w:bottom w:type="dxa" w:w="70"/>
              <w:right w:type="dxa" w:w="100"/>
            </w:tcMar>
          </w:tcPr>
          <w:p>
            <w:pPr>
              <w:spacing w:after="0" w:line="250"/>
            </w:pPr>
            <w:r>
              <w:rPr>
                <w:color w:val="1A1A1A"/>
                <w:sz w:val="19"/>
                <w:szCs w:val="19"/>
              </w:rPr>
              <w:t xml:space="preserve">Team (94 agents)</w:t>
            </w:r>
          </w:p>
        </w:tc>
        <w:tc>
          <w:tcPr>
            <w:tcW w:type="dxa" w:w="1900"/>
            <w:tcMar>
              <w:top w:type="dxa" w:w="70"/>
              <w:left w:type="dxa" w:w="100"/>
              <w:bottom w:type="dxa" w:w="70"/>
              <w:right w:type="dxa" w:w="100"/>
            </w:tcMar>
          </w:tcPr>
          <w:p>
            <w:pPr>
              <w:spacing w:after="0" w:line="250"/>
            </w:pPr>
            <w:r>
              <w:rPr>
                <w:color w:val="1A1A1A"/>
                <w:sz w:val="19"/>
                <w:szCs w:val="19"/>
              </w:rPr>
              <w:t xml:space="preserve">Complete</w:t>
            </w:r>
          </w:p>
        </w:tc>
        <w:tc>
          <w:tcPr>
            <w:tcW w:type="dxa" w:w="5226"/>
            <w:tcMar>
              <w:top w:type="dxa" w:w="70"/>
              <w:left w:type="dxa" w:w="100"/>
              <w:bottom w:type="dxa" w:w="70"/>
              <w:right w:type="dxa" w:w="100"/>
            </w:tcMar>
          </w:tcPr>
          <w:p>
            <w:pPr>
              <w:spacing w:after="0" w:line="250"/>
            </w:pPr>
            <w:r>
              <w:rPr>
                <w:color w:val="1A1A1A"/>
                <w:sz w:val="19"/>
                <w:szCs w:val="19"/>
              </w:rPr>
              <w:t xml:space="preserve">Generated from catalogue/org/. 80 SMEs across 13 domains, 321 never-assume items, 240 standing questions.</w:t>
            </w:r>
          </w:p>
        </w:tc>
      </w:tr>
      <w:tr>
        <w:tc>
          <w:tcPr>
            <w:tcW w:type="dxa" w:w="1900"/>
            <w:tcMar>
              <w:top w:type="dxa" w:w="70"/>
              <w:left w:type="dxa" w:w="100"/>
              <w:bottom w:type="dxa" w:w="70"/>
              <w:right w:type="dxa" w:w="100"/>
            </w:tcMar>
          </w:tcPr>
          <w:p>
            <w:pPr>
              <w:spacing w:after="0" w:line="250"/>
            </w:pPr>
            <w:r>
              <w:rPr>
                <w:color w:val="1A1A1A"/>
                <w:sz w:val="19"/>
                <w:szCs w:val="19"/>
              </w:rPr>
              <w:t xml:space="preserve">Skills (12)</w:t>
            </w:r>
          </w:p>
        </w:tc>
        <w:tc>
          <w:tcPr>
            <w:tcW w:type="dxa" w:w="1900"/>
            <w:tcMar>
              <w:top w:type="dxa" w:w="70"/>
              <w:left w:type="dxa" w:w="100"/>
              <w:bottom w:type="dxa" w:w="70"/>
              <w:right w:type="dxa" w:w="100"/>
            </w:tcMar>
          </w:tcPr>
          <w:p>
            <w:pPr>
              <w:spacing w:after="0" w:line="250"/>
            </w:pPr>
            <w:r>
              <w:rPr>
                <w:color w:val="1A1A1A"/>
                <w:sz w:val="19"/>
                <w:szCs w:val="19"/>
              </w:rPr>
              <w:t xml:space="preserve">Complete</w:t>
            </w:r>
          </w:p>
        </w:tc>
        <w:tc>
          <w:tcPr>
            <w:tcW w:type="dxa" w:w="5226"/>
            <w:tcMar>
              <w:top w:type="dxa" w:w="70"/>
              <w:left w:type="dxa" w:w="100"/>
              <w:bottom w:type="dxa" w:w="70"/>
              <w:right w:type="dxa" w:w="100"/>
            </w:tcMar>
          </w:tcPr>
          <w:p>
            <w:pPr>
              <w:spacing w:after="0" w:line="250"/>
            </w:pPr>
            <w:r>
              <w:rPr>
                <w:color w:val="1A1A1A"/>
                <w:sz w:val="19"/>
                <w:szCs w:val="19"/>
              </w:rPr>
              <w:t xml:space="preserve">9 validators generated; eas-baseplate, orchestrate-baseplate, security-architecture-team hand-written.</w:t>
            </w:r>
          </w:p>
        </w:tc>
      </w:tr>
      <w:tr>
        <w:tc>
          <w:tcPr>
            <w:tcW w:type="dxa" w:w="1900"/>
            <w:tcMar>
              <w:top w:type="dxa" w:w="70"/>
              <w:left w:type="dxa" w:w="100"/>
              <w:bottom w:type="dxa" w:w="70"/>
              <w:right w:type="dxa" w:w="100"/>
            </w:tcMar>
          </w:tcPr>
          <w:p>
            <w:pPr>
              <w:spacing w:after="0" w:line="250"/>
            </w:pPr>
            <w:r>
              <w:rPr>
                <w:color w:val="1A1A1A"/>
                <w:sz w:val="19"/>
                <w:szCs w:val="19"/>
              </w:rPr>
              <w:t xml:space="preserve">Setup</w:t>
            </w:r>
          </w:p>
        </w:tc>
        <w:tc>
          <w:tcPr>
            <w:tcW w:type="dxa" w:w="1900"/>
            <w:tcMar>
              <w:top w:type="dxa" w:w="70"/>
              <w:left w:type="dxa" w:w="100"/>
              <w:bottom w:type="dxa" w:w="70"/>
              <w:right w:type="dxa" w:w="100"/>
            </w:tcMar>
          </w:tcPr>
          <w:p>
            <w:pPr>
              <w:spacing w:after="0" w:line="250"/>
            </w:pPr>
            <w:r>
              <w:rPr>
                <w:color w:val="1A1A1A"/>
                <w:sz w:val="19"/>
                <w:szCs w:val="19"/>
              </w:rPr>
              <w:t xml:space="preserve">Complete</w:t>
            </w:r>
          </w:p>
        </w:tc>
        <w:tc>
          <w:tcPr>
            <w:tcW w:type="dxa" w:w="5226"/>
            <w:tcMar>
              <w:top w:type="dxa" w:w="70"/>
              <w:left w:type="dxa" w:w="100"/>
              <w:bottom w:type="dxa" w:w="70"/>
              <w:right w:type="dxa" w:w="100"/>
            </w:tcMar>
          </w:tcPr>
          <w:p>
            <w:pPr>
              <w:spacing w:after="0" w:line="250"/>
            </w:pPr>
            <w:r>
              <w:rPr>
                <w:color w:val="1A1A1A"/>
                <w:sz w:val="19"/>
                <w:szCs w:val="19"/>
              </w:rPr>
              <w:t xml:space="preserve">./setup.sh verifies without installing. --docs installs optional docx generators. --check for locked-down environments.</w:t>
            </w:r>
          </w:p>
        </w:tc>
      </w:tr>
      <w:tr>
        <w:tc>
          <w:tcPr>
            <w:tcW w:type="dxa" w:w="1900"/>
            <w:tcMar>
              <w:top w:type="dxa" w:w="70"/>
              <w:left w:type="dxa" w:w="100"/>
              <w:bottom w:type="dxa" w:w="70"/>
              <w:right w:type="dxa" w:w="100"/>
            </w:tcMar>
          </w:tcPr>
          <w:p>
            <w:pPr>
              <w:spacing w:after="0" w:line="250"/>
            </w:pPr>
            <w:r>
              <w:rPr>
                <w:color w:val="1A1A1A"/>
                <w:sz w:val="19"/>
                <w:szCs w:val="19"/>
              </w:rPr>
              <w:t xml:space="preserve">Tests</w:t>
            </w:r>
          </w:p>
        </w:tc>
        <w:tc>
          <w:tcPr>
            <w:tcW w:type="dxa" w:w="1900"/>
            <w:tcMar>
              <w:top w:type="dxa" w:w="70"/>
              <w:left w:type="dxa" w:w="100"/>
              <w:bottom w:type="dxa" w:w="70"/>
              <w:right w:type="dxa" w:w="100"/>
            </w:tcMar>
          </w:tcPr>
          <w:p>
            <w:pPr>
              <w:spacing w:after="0" w:line="250"/>
            </w:pPr>
            <w:r>
              <w:rPr>
                <w:color w:val="1A1A1A"/>
                <w:sz w:val="19"/>
                <w:szCs w:val="19"/>
              </w:rPr>
              <w:t xml:space="preserve">Complete for what exists</w:t>
            </w:r>
          </w:p>
        </w:tc>
        <w:tc>
          <w:tcPr>
            <w:tcW w:type="dxa" w:w="5226"/>
            <w:tcMar>
              <w:top w:type="dxa" w:w="70"/>
              <w:left w:type="dxa" w:w="100"/>
              <w:bottom w:type="dxa" w:w="70"/>
              <w:right w:type="dxa" w:w="100"/>
            </w:tcMar>
          </w:tcPr>
          <w:p>
            <w:pPr>
              <w:spacing w:after="0" w:line="250"/>
            </w:pPr>
            <w:r>
              <w:rPr>
                <w:color w:val="1A1A1A"/>
                <w:sz w:val="19"/>
                <w:szCs w:val="19"/>
              </w:rPr>
              <w:t xml:space="preserve">62 tests covering catalogue integrity, engine determinism, team structure, cloud-vs-traditional split, project isolation.</w:t>
            </w:r>
          </w:p>
        </w:tc>
      </w:tr>
      <w:tr>
        <w:tc>
          <w:tcPr>
            <w:tcW w:type="dxa" w:w="1900"/>
            <w:tcMar>
              <w:top w:type="dxa" w:w="70"/>
              <w:left w:type="dxa" w:w="100"/>
              <w:bottom w:type="dxa" w:w="70"/>
              <w:right w:type="dxa" w:w="100"/>
            </w:tcMar>
          </w:tcPr>
          <w:p>
            <w:pPr>
              <w:spacing w:after="0" w:line="250"/>
            </w:pPr>
            <w:r>
              <w:rPr>
                <w:color w:val="1A1A1A"/>
                <w:sz w:val="19"/>
                <w:szCs w:val="19"/>
              </w:rPr>
              <w:t xml:space="preserve">Documents</w:t>
            </w:r>
          </w:p>
        </w:tc>
        <w:tc>
          <w:tcPr>
            <w:tcW w:type="dxa" w:w="1900"/>
            <w:tcMar>
              <w:top w:type="dxa" w:w="70"/>
              <w:left w:type="dxa" w:w="100"/>
              <w:bottom w:type="dxa" w:w="70"/>
              <w:right w:type="dxa" w:w="100"/>
            </w:tcMar>
          </w:tcPr>
          <w:p>
            <w:pPr>
              <w:spacing w:after="0" w:line="250"/>
            </w:pPr>
            <w:r>
              <w:rPr>
                <w:color w:val="1A1A1A"/>
                <w:sz w:val="19"/>
                <w:szCs w:val="19"/>
              </w:rPr>
              <w:t xml:space="preserve">Complete</w:t>
            </w:r>
          </w:p>
        </w:tc>
        <w:tc>
          <w:tcPr>
            <w:tcW w:type="dxa" w:w="5226"/>
            <w:tcMar>
              <w:top w:type="dxa" w:w="70"/>
              <w:left w:type="dxa" w:w="100"/>
              <w:bottom w:type="dxa" w:w="70"/>
              <w:right w:type="dxa" w:w="100"/>
            </w:tcMar>
          </w:tcPr>
          <w:p>
            <w:pPr>
              <w:spacing w:after="0" w:line="250"/>
            </w:pPr>
            <w:r>
              <w:rPr>
                <w:color w:val="1A1A1A"/>
                <w:sz w:val="19"/>
                <w:szCs w:val="19"/>
              </w:rPr>
              <w:t xml:space="preserve">docs/eas-setup-and-flow.docx (setup + flow + worked examples); docs/eas-briefing.docx (the adoption case).</w:t>
            </w:r>
          </w:p>
        </w:tc>
      </w:tr>
      <w:tr>
        <w:tc>
          <w:tcPr>
            <w:tcW w:type="dxa" w:w="1900"/>
            <w:tcMar>
              <w:top w:type="dxa" w:w="70"/>
              <w:left w:type="dxa" w:w="100"/>
              <w:bottom w:type="dxa" w:w="70"/>
              <w:right w:type="dxa" w:w="100"/>
            </w:tcMar>
          </w:tcPr>
          <w:p>
            <w:pPr>
              <w:spacing w:after="0" w:line="250"/>
            </w:pPr>
            <w:r>
              <w:rPr>
                <w:color w:val="1A1A1A"/>
                <w:sz w:val="19"/>
                <w:szCs w:val="19"/>
              </w:rPr>
              <w:t xml:space="preserve">Example briefs</w:t>
            </w:r>
          </w:p>
        </w:tc>
        <w:tc>
          <w:tcPr>
            <w:tcW w:type="dxa" w:w="1900"/>
            <w:tcMar>
              <w:top w:type="dxa" w:w="70"/>
              <w:left w:type="dxa" w:w="100"/>
              <w:bottom w:type="dxa" w:w="70"/>
              <w:right w:type="dxa" w:w="100"/>
            </w:tcMar>
          </w:tcPr>
          <w:p>
            <w:pPr>
              <w:spacing w:after="0" w:line="250"/>
            </w:pPr>
            <w:r>
              <w:rPr>
                <w:color w:val="1A1A1A"/>
                <w:sz w:val="19"/>
                <w:szCs w:val="19"/>
              </w:rPr>
              <w:t xml:space="preserve">5</w:t>
            </w:r>
          </w:p>
        </w:tc>
        <w:tc>
          <w:tcPr>
            <w:tcW w:type="dxa" w:w="5226"/>
            <w:tcMar>
              <w:top w:type="dxa" w:w="70"/>
              <w:left w:type="dxa" w:w="100"/>
              <w:bottom w:type="dxa" w:w="70"/>
              <w:right w:type="dxa" w:w="100"/>
            </w:tcMar>
          </w:tcPr>
          <w:p>
            <w:pPr>
              <w:spacing w:after="0" w:line="250"/>
            </w:pPr>
            <w:r>
              <w:rPr>
                <w:color w:val="1A1A1A"/>
                <w:sz w:val="19"/>
                <w:szCs w:val="19"/>
              </w:rPr>
              <w:t xml:space="preserve">simple, regulated, strategic, sase-migration, agentic-sdlc — all run cleanly.</w:t>
            </w:r>
          </w:p>
        </w:tc>
      </w:tr>
    </w:tbl>
    <w:p>
      <w:pPr>
        <w:pStyle w:val="Heading2"/>
        <w:spacing w:after="120" w:before="280"/>
      </w:pPr>
      <w:r>
        <w:rPr>
          <w:b/>
          <w:bCs/>
          <w:color w:val="1F4E79"/>
          <w:sz w:val="24"/>
          <w:szCs w:val="24"/>
        </w:rPr>
        <w:t xml:space="preserve">2.2 What is not yet done</w:t>
      </w:r>
    </w:p>
    <w:tbl>
      <w:tblPr>
        <w:tblW w:type="dxa" w:w="9026"/>
        <w:tblBorders>
          <w:top w:val="single" w:color="D9DEE5" w:sz="4"/>
          <w:left w:val="single" w:color="D9DEE5" w:sz="4"/>
          <w:bottom w:val="single" w:color="D9DEE5" w:sz="4"/>
          <w:right w:val="single" w:color="D9DEE5" w:sz="4"/>
          <w:insideH w:val="single" w:color="D9DEE5" w:sz="4"/>
          <w:insideV w:val="single" w:color="D9DEE5" w:sz="4"/>
        </w:tblBorders>
      </w:tblPr>
      <w:tblGrid>
        <w:gridCol w:w="2600"/>
        <w:gridCol w:w="3300"/>
        <w:gridCol w:w="3126"/>
      </w:tblGrid>
      <w:tr>
        <w:trPr>
          <w:tblHeader/>
        </w:trPr>
        <w:tc>
          <w:tcPr>
            <w:tcW w:type="dxa" w:w="2600"/>
            <w:shd w:fill="EDF1F6" w:val="clear"/>
            <w:tcMar>
              <w:top w:type="dxa" w:w="70"/>
              <w:left w:type="dxa" w:w="100"/>
              <w:bottom w:type="dxa" w:w="70"/>
              <w:right w:type="dxa" w:w="100"/>
            </w:tcMar>
          </w:tcPr>
          <w:p>
            <w:pPr>
              <w:spacing w:after="0" w:line="250"/>
            </w:pPr>
            <w:r>
              <w:rPr>
                <w:b/>
                <w:bCs/>
                <w:color w:val="22303F"/>
                <w:sz w:val="18"/>
                <w:szCs w:val="18"/>
              </w:rPr>
              <w:t xml:space="preserve">Gap</w:t>
            </w:r>
          </w:p>
        </w:tc>
        <w:tc>
          <w:tcPr>
            <w:tcW w:type="dxa" w:w="3300"/>
            <w:shd w:fill="EDF1F6" w:val="clear"/>
            <w:tcMar>
              <w:top w:type="dxa" w:w="70"/>
              <w:left w:type="dxa" w:w="100"/>
              <w:bottom w:type="dxa" w:w="70"/>
              <w:right w:type="dxa" w:w="100"/>
            </w:tcMar>
          </w:tcPr>
          <w:p>
            <w:pPr>
              <w:spacing w:after="0" w:line="250"/>
            </w:pPr>
            <w:r>
              <w:rPr>
                <w:b/>
                <w:bCs/>
                <w:color w:val="22303F"/>
                <w:sz w:val="18"/>
                <w:szCs w:val="18"/>
              </w:rPr>
              <w:t xml:space="preserve">Impact</w:t>
            </w:r>
          </w:p>
        </w:tc>
        <w:tc>
          <w:tcPr>
            <w:tcW w:type="dxa" w:w="3126"/>
            <w:shd w:fill="EDF1F6" w:val="clear"/>
            <w:tcMar>
              <w:top w:type="dxa" w:w="70"/>
              <w:left w:type="dxa" w:w="100"/>
              <w:bottom w:type="dxa" w:w="70"/>
              <w:right w:type="dxa" w:w="100"/>
            </w:tcMar>
          </w:tcPr>
          <w:p>
            <w:pPr>
              <w:spacing w:after="0" w:line="250"/>
            </w:pPr>
            <w:r>
              <w:rPr>
                <w:b/>
                <w:bCs/>
                <w:color w:val="22303F"/>
                <w:sz w:val="18"/>
                <w:szCs w:val="18"/>
              </w:rPr>
              <w:t xml:space="preserve">Sized</w:t>
            </w:r>
          </w:p>
        </w:tc>
      </w:tr>
      <w:tr>
        <w:tc>
          <w:tcPr>
            <w:tcW w:type="dxa" w:w="2600"/>
            <w:tcMar>
              <w:top w:type="dxa" w:w="70"/>
              <w:left w:type="dxa" w:w="100"/>
              <w:bottom w:type="dxa" w:w="70"/>
              <w:right w:type="dxa" w:w="100"/>
            </w:tcMar>
          </w:tcPr>
          <w:p>
            <w:pPr>
              <w:spacing w:after="0" w:line="250"/>
            </w:pPr>
            <w:r>
              <w:rPr>
                <w:color w:val="1A1A1A"/>
                <w:sz w:val="19"/>
                <w:szCs w:val="19"/>
              </w:rPr>
              <w:t xml:space="preserve">Effort figures are uncalibrated</w:t>
            </w:r>
          </w:p>
        </w:tc>
        <w:tc>
          <w:tcPr>
            <w:tcW w:type="dxa" w:w="3300"/>
            <w:tcMar>
              <w:top w:type="dxa" w:w="70"/>
              <w:left w:type="dxa" w:w="100"/>
              <w:bottom w:type="dxa" w:w="70"/>
              <w:right w:type="dxa" w:w="100"/>
            </w:tcMar>
          </w:tcPr>
          <w:p>
            <w:pPr>
              <w:spacing w:after="0" w:line="250"/>
            </w:pPr>
            <w:r>
              <w:rPr>
                <w:color w:val="1A1A1A"/>
                <w:sz w:val="19"/>
                <w:szCs w:val="19"/>
              </w:rPr>
              <w:t xml:space="preserve">Roadmap estimates are shapes, not numbers</w:t>
            </w:r>
          </w:p>
        </w:tc>
        <w:tc>
          <w:tcPr>
            <w:tcW w:type="dxa" w:w="3126"/>
            <w:tcMar>
              <w:top w:type="dxa" w:w="70"/>
              <w:left w:type="dxa" w:w="100"/>
              <w:bottom w:type="dxa" w:w="70"/>
              <w:right w:type="dxa" w:w="100"/>
            </w:tcMar>
          </w:tcPr>
          <w:p>
            <w:pPr>
              <w:spacing w:after="0" w:line="250"/>
            </w:pPr>
            <w:r>
              <w:rPr>
                <w:color w:val="1A1A1A"/>
                <w:sz w:val="19"/>
                <w:szCs w:val="19"/>
              </w:rPr>
              <w:t xml:space="preserve">1–2 workshops with delivery leadership</w:t>
            </w:r>
          </w:p>
        </w:tc>
      </w:tr>
      <w:tr>
        <w:tc>
          <w:tcPr>
            <w:tcW w:type="dxa" w:w="2600"/>
            <w:tcMar>
              <w:top w:type="dxa" w:w="70"/>
              <w:left w:type="dxa" w:w="100"/>
              <w:bottom w:type="dxa" w:w="70"/>
              <w:right w:type="dxa" w:w="100"/>
            </w:tcMar>
          </w:tcPr>
          <w:p>
            <w:pPr>
              <w:spacing w:after="0" w:line="250"/>
            </w:pPr>
            <w:r>
              <w:rPr>
                <w:color w:val="1A1A1A"/>
                <w:sz w:val="19"/>
                <w:szCs w:val="19"/>
              </w:rPr>
              <w:t xml:space="preserve">Four domains outside the engine</w:t>
            </w:r>
          </w:p>
        </w:tc>
        <w:tc>
          <w:tcPr>
            <w:tcW w:type="dxa" w:w="3300"/>
            <w:tcMar>
              <w:top w:type="dxa" w:w="70"/>
              <w:left w:type="dxa" w:w="100"/>
              <w:bottom w:type="dxa" w:w="70"/>
              <w:right w:type="dxa" w:w="100"/>
            </w:tcMar>
          </w:tcPr>
          <w:p>
            <w:pPr>
              <w:spacing w:after="0" w:line="250"/>
            </w:pPr>
            <w:r>
              <w:rPr>
                <w:color w:val="1A1A1A"/>
                <w:sz w:val="19"/>
                <w:szCs w:val="19"/>
              </w:rPr>
              <w:t xml:space="preserve">OFFSEC, HUMAN, PHYS, EMRG rely on Architect engagement</w:t>
            </w:r>
          </w:p>
        </w:tc>
        <w:tc>
          <w:tcPr>
            <w:tcW w:type="dxa" w:w="3126"/>
            <w:tcMar>
              <w:top w:type="dxa" w:w="70"/>
              <w:left w:type="dxa" w:w="100"/>
              <w:bottom w:type="dxa" w:w="70"/>
              <w:right w:type="dxa" w:w="100"/>
            </w:tcMar>
          </w:tcPr>
          <w:p>
            <w:pPr>
              <w:spacing w:after="0" w:line="250"/>
            </w:pPr>
            <w:r>
              <w:rPr>
                <w:color w:val="1A1A1A"/>
                <w:sz w:val="19"/>
                <w:szCs w:val="19"/>
              </w:rPr>
              <w:t xml:space="preserve">Design complete; the Architects exist and are prompted correctly</w:t>
            </w:r>
          </w:p>
        </w:tc>
      </w:tr>
      <w:tr>
        <w:tc>
          <w:tcPr>
            <w:tcW w:type="dxa" w:w="2600"/>
            <w:tcMar>
              <w:top w:type="dxa" w:w="70"/>
              <w:left w:type="dxa" w:w="100"/>
              <w:bottom w:type="dxa" w:w="70"/>
              <w:right w:type="dxa" w:w="100"/>
            </w:tcMar>
          </w:tcPr>
          <w:p>
            <w:pPr>
              <w:spacing w:after="0" w:line="250"/>
            </w:pPr>
            <w:r>
              <w:rPr>
                <w:color w:val="1A1A1A"/>
                <w:sz w:val="19"/>
                <w:szCs w:val="19"/>
              </w:rPr>
              <w:t xml:space="preserve">No pilot against real work</w:t>
            </w:r>
          </w:p>
        </w:tc>
        <w:tc>
          <w:tcPr>
            <w:tcW w:type="dxa" w:w="3300"/>
            <w:tcMar>
              <w:top w:type="dxa" w:w="70"/>
              <w:left w:type="dxa" w:w="100"/>
              <w:bottom w:type="dxa" w:w="70"/>
              <w:right w:type="dxa" w:w="100"/>
            </w:tcMar>
          </w:tcPr>
          <w:p>
            <w:pPr>
              <w:spacing w:after="0" w:line="250"/>
            </w:pPr>
            <w:r>
              <w:rPr>
                <w:color w:val="1A1A1A"/>
                <w:sz w:val="19"/>
                <w:szCs w:val="19"/>
              </w:rPr>
              <w:t xml:space="preserve">Method unproven against this organisation's own delivery</w:t>
            </w:r>
          </w:p>
        </w:tc>
        <w:tc>
          <w:tcPr>
            <w:tcW w:type="dxa" w:w="3126"/>
            <w:tcMar>
              <w:top w:type="dxa" w:w="70"/>
              <w:left w:type="dxa" w:w="100"/>
              <w:bottom w:type="dxa" w:w="70"/>
              <w:right w:type="dxa" w:w="100"/>
            </w:tcMar>
          </w:tcPr>
          <w:p>
            <w:pPr>
              <w:spacing w:after="0" w:line="250"/>
            </w:pPr>
            <w:r>
              <w:rPr>
                <w:color w:val="1A1A1A"/>
                <w:sz w:val="19"/>
                <w:szCs w:val="19"/>
              </w:rPr>
              <w:t xml:space="preserve">One programme, ideally one that has already been through architecture governance</w:t>
            </w:r>
          </w:p>
        </w:tc>
      </w:tr>
      <w:tr>
        <w:tc>
          <w:tcPr>
            <w:tcW w:type="dxa" w:w="2600"/>
            <w:tcMar>
              <w:top w:type="dxa" w:w="70"/>
              <w:left w:type="dxa" w:w="100"/>
              <w:bottom w:type="dxa" w:w="70"/>
              <w:right w:type="dxa" w:w="100"/>
            </w:tcMar>
          </w:tcPr>
          <w:p>
            <w:pPr>
              <w:spacing w:after="0" w:line="250"/>
            </w:pPr>
            <w:r>
              <w:rPr>
                <w:color w:val="1A1A1A"/>
                <w:sz w:val="19"/>
                <w:szCs w:val="19"/>
              </w:rPr>
              <w:t xml:space="preserve">Pattern library</w:t>
            </w:r>
          </w:p>
        </w:tc>
        <w:tc>
          <w:tcPr>
            <w:tcW w:type="dxa" w:w="3300"/>
            <w:tcMar>
              <w:top w:type="dxa" w:w="70"/>
              <w:left w:type="dxa" w:w="100"/>
              <w:bottom w:type="dxa" w:w="70"/>
              <w:right w:type="dxa" w:w="100"/>
            </w:tcMar>
          </w:tcPr>
          <w:p>
            <w:pPr>
              <w:spacing w:after="0" w:line="250"/>
            </w:pPr>
            <w:r>
              <w:rPr>
                <w:color w:val="1A1A1A"/>
                <w:sz w:val="19"/>
                <w:szCs w:val="19"/>
              </w:rPr>
              <w:t xml:space="preserve">No 'what good looks like' reference for SMEs to cite</w:t>
            </w:r>
          </w:p>
        </w:tc>
        <w:tc>
          <w:tcPr>
            <w:tcW w:type="dxa" w:w="3126"/>
            <w:tcMar>
              <w:top w:type="dxa" w:w="70"/>
              <w:left w:type="dxa" w:w="100"/>
              <w:bottom w:type="dxa" w:w="70"/>
              <w:right w:type="dxa" w:w="100"/>
            </w:tcMar>
          </w:tcPr>
          <w:p>
            <w:pPr>
              <w:spacing w:after="0" w:line="250"/>
            </w:pPr>
            <w:r>
              <w:rPr>
                <w:color w:val="1A1A1A"/>
                <w:sz w:val="19"/>
                <w:szCs w:val="19"/>
              </w:rPr>
              <w:t xml:space="preserve">Design settled (CALM-based, section 3); build ~4–6 weeks</w:t>
            </w:r>
          </w:p>
        </w:tc>
      </w:tr>
      <w:tr>
        <w:tc>
          <w:tcPr>
            <w:tcW w:type="dxa" w:w="2600"/>
            <w:tcMar>
              <w:top w:type="dxa" w:w="70"/>
              <w:left w:type="dxa" w:w="100"/>
              <w:bottom w:type="dxa" w:w="70"/>
              <w:right w:type="dxa" w:w="100"/>
            </w:tcMar>
          </w:tcPr>
          <w:p>
            <w:pPr>
              <w:spacing w:after="0" w:line="250"/>
            </w:pPr>
            <w:r>
              <w:rPr>
                <w:color w:val="1A1A1A"/>
                <w:sz w:val="19"/>
                <w:szCs w:val="19"/>
              </w:rPr>
              <w:t xml:space="preserve">Local LLM behind SMEs</w:t>
            </w:r>
          </w:p>
        </w:tc>
        <w:tc>
          <w:tcPr>
            <w:tcW w:type="dxa" w:w="3300"/>
            <w:tcMar>
              <w:top w:type="dxa" w:w="70"/>
              <w:left w:type="dxa" w:w="100"/>
              <w:bottom w:type="dxa" w:w="70"/>
              <w:right w:type="dxa" w:w="100"/>
            </w:tcMar>
          </w:tcPr>
          <w:p>
            <w:pPr>
              <w:spacing w:after="0" w:line="250"/>
            </w:pPr>
            <w:r>
              <w:rPr>
                <w:color w:val="1A1A1A"/>
                <w:sz w:val="19"/>
                <w:szCs w:val="19"/>
              </w:rPr>
              <w:t xml:space="preserve">Currently the reasoning tier assumes a strong model</w:t>
            </w:r>
          </w:p>
        </w:tc>
        <w:tc>
          <w:tcPr>
            <w:tcW w:type="dxa" w:w="3126"/>
            <w:tcMar>
              <w:top w:type="dxa" w:w="70"/>
              <w:left w:type="dxa" w:w="100"/>
              <w:bottom w:type="dxa" w:w="70"/>
              <w:right w:type="dxa" w:w="100"/>
            </w:tcMar>
          </w:tcPr>
          <w:p>
            <w:pPr>
              <w:spacing w:after="0" w:line="250"/>
            </w:pPr>
            <w:r>
              <w:rPr>
                <w:color w:val="1A1A1A"/>
                <w:sz w:val="19"/>
                <w:szCs w:val="19"/>
              </w:rPr>
              <w:t xml:space="preserve">Design settled; MCP boundary makes this a swap, not a rewrite</w:t>
            </w:r>
          </w:p>
        </w:tc>
      </w:tr>
      <w:tr>
        <w:tc>
          <w:tcPr>
            <w:tcW w:type="dxa" w:w="2600"/>
            <w:tcMar>
              <w:top w:type="dxa" w:w="70"/>
              <w:left w:type="dxa" w:w="100"/>
              <w:bottom w:type="dxa" w:w="70"/>
              <w:right w:type="dxa" w:w="100"/>
            </w:tcMar>
          </w:tcPr>
          <w:p>
            <w:pPr>
              <w:spacing w:after="0" w:line="250"/>
            </w:pPr>
            <w:r>
              <w:rPr>
                <w:color w:val="1A1A1A"/>
                <w:sz w:val="19"/>
                <w:szCs w:val="19"/>
              </w:rPr>
              <w:t xml:space="preserve">Deployment-challenge phase</w:t>
            </w:r>
          </w:p>
        </w:tc>
        <w:tc>
          <w:tcPr>
            <w:tcW w:type="dxa" w:w="3300"/>
            <w:tcMar>
              <w:top w:type="dxa" w:w="70"/>
              <w:left w:type="dxa" w:w="100"/>
              <w:bottom w:type="dxa" w:w="70"/>
              <w:right w:type="dxa" w:w="100"/>
            </w:tcMar>
          </w:tcPr>
          <w:p>
            <w:pPr>
              <w:spacing w:after="0" w:line="250"/>
            </w:pPr>
            <w:r>
              <w:rPr>
                <w:color w:val="1A1A1A"/>
                <w:sz w:val="19"/>
                <w:szCs w:val="19"/>
              </w:rPr>
              <w:t xml:space="preserve">Real-world interactions and gotchas per pattern</w:t>
            </w:r>
          </w:p>
        </w:tc>
        <w:tc>
          <w:tcPr>
            <w:tcW w:type="dxa" w:w="3126"/>
            <w:tcMar>
              <w:top w:type="dxa" w:w="70"/>
              <w:left w:type="dxa" w:w="100"/>
              <w:bottom w:type="dxa" w:w="70"/>
              <w:right w:type="dxa" w:w="100"/>
            </w:tcMar>
          </w:tcPr>
          <w:p>
            <w:pPr>
              <w:spacing w:after="0" w:line="250"/>
            </w:pPr>
            <w:r>
              <w:rPr>
                <w:color w:val="1A1A1A"/>
                <w:sz w:val="19"/>
                <w:szCs w:val="19"/>
              </w:rPr>
              <w:t xml:space="preserve">Schema fields exist; the interrogation surface is future</w:t>
            </w:r>
          </w:p>
        </w:tc>
      </w:tr>
    </w:tbl>
    <w:p>
      <w:r>
        <w:br w:type="page"/>
      </w:r>
    </w:p>
    <w:p>
      <w:pPr>
        <w:pStyle w:val="Heading1"/>
        <w:spacing w:after="160" w:before="360"/>
      </w:pPr>
      <w:r>
        <w:rPr>
          <w:b/>
          <w:bCs/>
          <w:color w:val="1F4E79"/>
          <w:sz w:val="30"/>
          <w:szCs w:val="30"/>
        </w:rPr>
        <w:t xml:space="preserve">3. Direction settled but not built</w:t>
      </w:r>
    </w:p>
    <w:p>
      <w:pPr>
        <w:spacing w:after="140" w:line="276"/>
      </w:pPr>
      <w:r>
        <w:rPr>
          <w:color w:val="1A1A1A"/>
          <w:sz w:val="21"/>
          <w:szCs w:val="21"/>
        </w:rPr>
        <w:t xml:space="preserve">Two conversations in this session went further than build. Both are on the record here so the work does not have to be re-derived.</w:t>
      </w:r>
    </w:p>
    <w:p>
      <w:pPr>
        <w:pStyle w:val="Heading2"/>
        <w:spacing w:after="120" w:before="280"/>
      </w:pPr>
      <w:r>
        <w:rPr>
          <w:b/>
          <w:bCs/>
          <w:color w:val="1F4E79"/>
          <w:sz w:val="24"/>
          <w:szCs w:val="24"/>
        </w:rPr>
        <w:t xml:space="preserve">3.1 Pattern library on CALM</w:t>
      </w:r>
    </w:p>
    <w:p>
      <w:pPr>
        <w:spacing w:after="140" w:line="276"/>
      </w:pPr>
      <w:r>
        <w:rPr>
          <w:color w:val="1A1A1A"/>
          <w:sz w:val="21"/>
          <w:szCs w:val="21"/>
        </w:rPr>
        <w:t xml:space="preserve">FINOS CALM (Common Architecture Language Model) is a JSON-schema architecture-as-code specification with a core schema plus domain schemas including security. Nodes, relationships, controls, metadata. Patterns and architectures are the same shape, and the CLI can instantiate an architecture from a pattern.</w:t>
      </w:r>
    </w:p>
    <w:p>
      <w:pPr>
        <w:pBdr>
          <w:left w:val="single" w:color="1F4E79" w:sz="18"/>
        </w:pBdr>
        <w:shd w:fill="EFF4FA" w:val="clear"/>
        <w:spacing w:after="160" w:before="100" w:line="276"/>
        <w:ind w:left="170" w:right="170"/>
      </w:pPr>
      <w:r>
        <w:rPr>
          <w:color w:val="18324D"/>
          <w:sz w:val="20"/>
          <w:szCs w:val="20"/>
        </w:rPr>
        <w:t xml:space="preserve">The consequence: pattern, as-is and target become the same shape. Graph diff, pattern conformance and SME projection all move from LLM judgement to deterministic computation.</w:t>
      </w:r>
    </w:p>
    <w:p>
      <w:pPr>
        <w:pStyle w:val="Heading3"/>
        <w:spacing w:after="100" w:before="220"/>
      </w:pPr>
      <w:r>
        <w:rPr>
          <w:b/>
          <w:bCs/>
          <w:color w:val="1A1A1A"/>
          <w:sz w:val="21"/>
          <w:szCs w:val="21"/>
        </w:rPr>
        <w:t xml:space="preserve">What was decided</w:t>
      </w:r>
    </w:p>
    <w:p>
      <w:pPr>
        <w:pStyle w:val="ListParagraph"/>
        <w:numPr>
          <w:ilvl w:val="0"/>
          <w:numId w:val="2"/>
        </w:numPr>
        <w:spacing w:after="80" w:line="276"/>
      </w:pPr>
      <w:r>
        <w:rPr>
          <w:color w:val="1A1A1A"/>
          <w:sz w:val="21"/>
          <w:szCs w:val="21"/>
        </w:rPr>
        <w:t xml:space="preserve">Storage: GitHub is the truth; the local index is a rebuildable cache. Pin by commit SHA per run.</w:t>
      </w:r>
    </w:p>
    <w:p>
      <w:pPr>
        <w:pStyle w:val="ListParagraph"/>
        <w:numPr>
          <w:ilvl w:val="0"/>
          <w:numId w:val="2"/>
        </w:numPr>
        <w:spacing w:after="80" w:line="276"/>
      </w:pPr>
      <w:r>
        <w:rPr>
          <w:color w:val="1A1A1A"/>
          <w:sz w:val="21"/>
          <w:szCs w:val="21"/>
        </w:rPr>
        <w:t xml:space="preserve">Tagging: derived from CALM structure where possible (node type, container, control reference), asserted in metadata only where structure cannot say it.</w:t>
      </w:r>
    </w:p>
    <w:p>
      <w:pPr>
        <w:pStyle w:val="ListParagraph"/>
        <w:numPr>
          <w:ilvl w:val="0"/>
          <w:numId w:val="2"/>
        </w:numPr>
        <w:spacing w:after="80" w:line="276"/>
      </w:pPr>
      <w:r>
        <w:rPr>
          <w:color w:val="1A1A1A"/>
          <w:sz w:val="21"/>
          <w:szCs w:val="21"/>
        </w:rPr>
        <w:t xml:space="preserve">The asserted-tag block sits in metadata under an 'eas' namespace with its own JSON schema, so CALM validate keeps working and tag drift is caught in CI.</w:t>
      </w:r>
    </w:p>
    <w:p>
      <w:pPr>
        <w:pStyle w:val="ListParagraph"/>
        <w:numPr>
          <w:ilvl w:val="0"/>
          <w:numId w:val="2"/>
        </w:numPr>
        <w:spacing w:after="80" w:line="276"/>
      </w:pPr>
      <w:r>
        <w:rPr>
          <w:color w:val="1A1A1A"/>
          <w:sz w:val="21"/>
          <w:szCs w:val="21"/>
        </w:rPr>
        <w:t xml:space="preserve">SME id vocabulary is published as a machine-readable artefact from this repo; the pattern repo's CI validates against it. Cheap now, painful later.</w:t>
      </w:r>
    </w:p>
    <w:p>
      <w:pPr>
        <w:pStyle w:val="ListParagraph"/>
        <w:numPr>
          <w:ilvl w:val="0"/>
          <w:numId w:val="2"/>
        </w:numPr>
        <w:spacing w:after="80" w:line="276"/>
      </w:pPr>
      <w:r>
        <w:rPr>
          <w:color w:val="1A1A1A"/>
          <w:sz w:val="21"/>
          <w:szCs w:val="21"/>
        </w:rPr>
        <w:t xml:space="preserve">Controls map to catalogue/capabilities.json tags. That connects the pattern library to the deterministic engine without compromising reproducibility.</w:t>
      </w:r>
    </w:p>
    <w:p>
      <w:pPr>
        <w:pStyle w:val="ListParagraph"/>
        <w:numPr>
          <w:ilvl w:val="0"/>
          <w:numId w:val="2"/>
        </w:numPr>
        <w:spacing w:after="80" w:line="276"/>
      </w:pPr>
      <w:r>
        <w:rPr>
          <w:color w:val="1A1A1A"/>
          <w:sz w:val="21"/>
          <w:szCs w:val="21"/>
        </w:rPr>
        <w:t xml:space="preserve">Retrieval: metadata filter first, then hybrid BM25+vector, optional cross-encoder rerank. Vector-only will fail on rare exact terms like PrivateLink and NRPT.</w:t>
      </w:r>
    </w:p>
    <w:p>
      <w:pPr>
        <w:pStyle w:val="ListParagraph"/>
        <w:numPr>
          <w:ilvl w:val="0"/>
          <w:numId w:val="2"/>
        </w:numPr>
        <w:spacing w:after="80" w:line="276"/>
      </w:pPr>
      <w:r>
        <w:rPr>
          <w:color w:val="1A1A1A"/>
          <w:sz w:val="21"/>
          <w:szCs w:val="21"/>
        </w:rPr>
        <w:t xml:space="preserve">Verdict discipline: every SME returns one of five typed states — no-change, change-required, change-possible, blocked, out-of-scope. no-change requires justification. Missing verdict fails the run.</w:t>
      </w:r>
    </w:p>
    <w:p>
      <w:pPr>
        <w:pStyle w:val="Heading2"/>
        <w:spacing w:after="120" w:before="280"/>
      </w:pPr>
      <w:r>
        <w:rPr>
          <w:b/>
          <w:bCs/>
          <w:color w:val="1F4E79"/>
          <w:sz w:val="24"/>
          <w:szCs w:val="24"/>
        </w:rPr>
        <w:t xml:space="preserve">3.2 Local LLM behind the SMEs</w:t>
      </w:r>
    </w:p>
    <w:p>
      <w:pPr>
        <w:pStyle w:val="ListParagraph"/>
        <w:numPr>
          <w:ilvl w:val="0"/>
          <w:numId w:val="2"/>
        </w:numPr>
        <w:spacing w:after="80" w:line="276"/>
      </w:pPr>
      <w:r>
        <w:rPr>
          <w:color w:val="1A1A1A"/>
          <w:sz w:val="21"/>
          <w:szCs w:val="21"/>
        </w:rPr>
        <w:t xml:space="preserve">Boundary via MCP so the local model is a swap, not a rewrite. Same store, same protocol.</w:t>
      </w:r>
    </w:p>
    <w:p>
      <w:pPr>
        <w:pStyle w:val="ListParagraph"/>
        <w:numPr>
          <w:ilvl w:val="0"/>
          <w:numId w:val="2"/>
        </w:numPr>
        <w:spacing w:after="80" w:line="276"/>
      </w:pPr>
      <w:r>
        <w:rPr>
          <w:color w:val="1A1A1A"/>
          <w:sz w:val="21"/>
          <w:szCs w:val="21"/>
        </w:rPr>
        <w:t xml:space="preserve">Two-model split: small (7B, e.g. Qwen or an embedding model) for tagging and extraction; larger (30B+ quantised) for SME and Architect reasoning.</w:t>
      </w:r>
    </w:p>
    <w:p>
      <w:pPr>
        <w:pStyle w:val="ListParagraph"/>
        <w:numPr>
          <w:ilvl w:val="0"/>
          <w:numId w:val="2"/>
        </w:numPr>
        <w:spacing w:after="80" w:line="276"/>
      </w:pPr>
      <w:r>
        <w:rPr>
          <w:color w:val="1A1A1A"/>
          <w:sz w:val="21"/>
          <w:szCs w:val="21"/>
        </w:rPr>
        <w:t xml:space="preserve">Structured output enforced by grammar/JSON schema, validated server-side, reject-and-retry on schema violation. This is the reliability floor.</w:t>
      </w:r>
    </w:p>
    <w:p>
      <w:pPr>
        <w:pStyle w:val="ListParagraph"/>
        <w:numPr>
          <w:ilvl w:val="0"/>
          <w:numId w:val="2"/>
        </w:numPr>
        <w:spacing w:after="80" w:line="276"/>
      </w:pPr>
      <w:r>
        <w:rPr>
          <w:color w:val="1A1A1A"/>
          <w:sz w:val="21"/>
          <w:szCs w:val="21"/>
        </w:rPr>
        <w:t xml:space="preserve">Test protocol adherence explicitly: take ten questions that should escalate, count how many actually do. Small models will answer cross-domain questions they were told to escalate.</w:t>
      </w:r>
    </w:p>
    <w:p>
      <w:pPr>
        <w:pStyle w:val="ListParagraph"/>
        <w:numPr>
          <w:ilvl w:val="0"/>
          <w:numId w:val="2"/>
        </w:numPr>
        <w:spacing w:after="80" w:line="276"/>
      </w:pPr>
      <w:r>
        <w:rPr>
          <w:color w:val="1A1A1A"/>
          <w:sz w:val="21"/>
          <w:szCs w:val="21"/>
        </w:rPr>
        <w:t xml:space="preserve">Embedding: BGE-M3 (dense+sparse in one pass) is the strongest default for this corpus.</w:t>
      </w:r>
    </w:p>
    <w:p>
      <w:pPr>
        <w:pStyle w:val="Heading2"/>
        <w:spacing w:after="120" w:before="280"/>
      </w:pPr>
      <w:r>
        <w:rPr>
          <w:b/>
          <w:bCs/>
          <w:color w:val="1F4E79"/>
          <w:sz w:val="24"/>
          <w:szCs w:val="24"/>
        </w:rPr>
        <w:t xml:space="preserve">3.3 Estate model with lifecycle-per-component</w:t>
      </w:r>
    </w:p>
    <w:p>
      <w:pPr>
        <w:pStyle w:val="ListParagraph"/>
        <w:numPr>
          <w:ilvl w:val="0"/>
          <w:numId w:val="2"/>
        </w:numPr>
        <w:spacing w:after="80" w:line="276"/>
      </w:pPr>
      <w:r>
        <w:rPr>
          <w:color w:val="1A1A1A"/>
          <w:sz w:val="21"/>
          <w:szCs w:val="21"/>
        </w:rPr>
        <w:t xml:space="preserve">Do not model as-is and target as two diagrams. Model one component set where each carries a lifecycle state — unchanged, new, modified, retiring, replaced-by. That is the delta.</w:t>
      </w:r>
    </w:p>
    <w:p>
      <w:pPr>
        <w:pStyle w:val="ListParagraph"/>
        <w:numPr>
          <w:ilvl w:val="0"/>
          <w:numId w:val="2"/>
        </w:numPr>
        <w:spacing w:after="80" w:line="276"/>
      </w:pPr>
      <w:r>
        <w:rPr>
          <w:color w:val="1A1A1A"/>
          <w:sz w:val="21"/>
          <w:szCs w:val="21"/>
        </w:rPr>
        <w:t xml:space="preserve">Connections carry lifecycle too. A DNS change is usually a connection change, not a component one.</w:t>
      </w:r>
    </w:p>
    <w:p>
      <w:pPr>
        <w:pStyle w:val="ListParagraph"/>
        <w:numPr>
          <w:ilvl w:val="0"/>
          <w:numId w:val="2"/>
        </w:numPr>
        <w:spacing w:after="80" w:line="276"/>
      </w:pPr>
      <w:r>
        <w:rPr>
          <w:color w:val="1A1A1A"/>
          <w:sz w:val="21"/>
          <w:szCs w:val="21"/>
        </w:rPr>
        <w:t xml:space="preserve">Bind patterns to components via a relation — realises, diverges-from, guides-transition. The last one is your 'how to get there'.</w:t>
      </w:r>
    </w:p>
    <w:p>
      <w:pPr>
        <w:pStyle w:val="ListParagraph"/>
        <w:numPr>
          <w:ilvl w:val="0"/>
          <w:numId w:val="2"/>
        </w:numPr>
        <w:spacing w:after="80" w:line="276"/>
      </w:pPr>
      <w:r>
        <w:rPr>
          <w:color w:val="1A1A1A"/>
          <w:sz w:val="21"/>
          <w:szCs w:val="21"/>
        </w:rPr>
        <w:t xml:space="preserve">Source precedence encoded: internal RA (rank 1) → vendor-neutral standard (2) → vendor doc admissible only if the vendor is in-scope or target (3) → no source, judgement stated (4).</w:t>
      </w:r>
    </w:p>
    <w:p>
      <w:r>
        <w:br w:type="page"/>
      </w:r>
    </w:p>
    <w:p>
      <w:pPr>
        <w:pStyle w:val="Heading1"/>
        <w:spacing w:after="160" w:before="360"/>
      </w:pPr>
      <w:r>
        <w:rPr>
          <w:b/>
          <w:bCs/>
          <w:color w:val="1F4E79"/>
          <w:sz w:val="30"/>
          <w:szCs w:val="30"/>
        </w:rPr>
        <w:t xml:space="preserve">4. Recommended next steps</w:t>
      </w:r>
    </w:p>
    <w:p>
      <w:pPr>
        <w:spacing w:after="140" w:line="276"/>
      </w:pPr>
      <w:r>
        <w:rPr>
          <w:color w:val="1A1A1A"/>
          <w:sz w:val="21"/>
          <w:szCs w:val="21"/>
        </w:rPr>
        <w:t xml:space="preserve">Ordered by dependency. Each item's outcome is a checkable condition, not an activity.</w:t>
      </w:r>
    </w:p>
    <w:p>
      <w:pPr>
        <w:pStyle w:val="Heading2"/>
        <w:spacing w:after="120" w:before="280"/>
      </w:pPr>
      <w:r>
        <w:rPr>
          <w:b/>
          <w:bCs/>
          <w:color w:val="1F4E79"/>
          <w:sz w:val="24"/>
          <w:szCs w:val="24"/>
        </w:rPr>
        <w:t xml:space="preserve">4.1 Now — before any further build</w:t>
      </w:r>
    </w:p>
    <w:tbl>
      <w:tblPr>
        <w:tblW w:type="dxa" w:w="9026"/>
        <w:tblBorders>
          <w:top w:val="single" w:color="D9DEE5" w:sz="4"/>
          <w:left w:val="single" w:color="D9DEE5" w:sz="4"/>
          <w:bottom w:val="single" w:color="D9DEE5" w:sz="4"/>
          <w:right w:val="single" w:color="D9DEE5" w:sz="4"/>
          <w:insideH w:val="single" w:color="D9DEE5" w:sz="4"/>
          <w:insideV w:val="single" w:color="D9DEE5" w:sz="4"/>
        </w:tblBorders>
      </w:tblPr>
      <w:tblGrid>
        <w:gridCol w:w="400"/>
        <w:gridCol w:w="3300"/>
        <w:gridCol w:w="2500"/>
        <w:gridCol w:w="1400"/>
        <w:gridCol w:w="1426"/>
      </w:tblGrid>
      <w:tr>
        <w:trPr>
          <w:tblHeader/>
        </w:trPr>
        <w:tc>
          <w:tcPr>
            <w:tcW w:type="dxa" w:w="400"/>
            <w:shd w:fill="EDF1F6" w:val="clear"/>
            <w:tcMar>
              <w:top w:type="dxa" w:w="70"/>
              <w:left w:type="dxa" w:w="100"/>
              <w:bottom w:type="dxa" w:w="70"/>
              <w:right w:type="dxa" w:w="100"/>
            </w:tcMar>
          </w:tcPr>
          <w:p>
            <w:pPr>
              <w:spacing w:after="0" w:line="250"/>
            </w:pPr>
            <w:r>
              <w:rPr>
                <w:b/>
                <w:bCs/>
                <w:color w:val="22303F"/>
                <w:sz w:val="18"/>
                <w:szCs w:val="18"/>
              </w:rPr>
              <w:t xml:space="preserve">#</w:t>
            </w:r>
          </w:p>
        </w:tc>
        <w:tc>
          <w:tcPr>
            <w:tcW w:type="dxa" w:w="3300"/>
            <w:shd w:fill="EDF1F6" w:val="clear"/>
            <w:tcMar>
              <w:top w:type="dxa" w:w="70"/>
              <w:left w:type="dxa" w:w="100"/>
              <w:bottom w:type="dxa" w:w="70"/>
              <w:right w:type="dxa" w:w="100"/>
            </w:tcMar>
          </w:tcPr>
          <w:p>
            <w:pPr>
              <w:spacing w:after="0" w:line="250"/>
            </w:pPr>
            <w:r>
              <w:rPr>
                <w:b/>
                <w:bCs/>
                <w:color w:val="22303F"/>
                <w:sz w:val="18"/>
                <w:szCs w:val="18"/>
              </w:rPr>
              <w:t xml:space="preserve">Step</w:t>
            </w:r>
          </w:p>
        </w:tc>
        <w:tc>
          <w:tcPr>
            <w:tcW w:type="dxa" w:w="2500"/>
            <w:shd w:fill="EDF1F6" w:val="clear"/>
            <w:tcMar>
              <w:top w:type="dxa" w:w="70"/>
              <w:left w:type="dxa" w:w="100"/>
              <w:bottom w:type="dxa" w:w="70"/>
              <w:right w:type="dxa" w:w="100"/>
            </w:tcMar>
          </w:tcPr>
          <w:p>
            <w:pPr>
              <w:spacing w:after="0" w:line="250"/>
            </w:pPr>
            <w:r>
              <w:rPr>
                <w:b/>
                <w:bCs/>
                <w:color w:val="22303F"/>
                <w:sz w:val="18"/>
                <w:szCs w:val="18"/>
              </w:rPr>
              <w:t xml:space="preserve">Outcome</w:t>
            </w:r>
          </w:p>
        </w:tc>
        <w:tc>
          <w:tcPr>
            <w:tcW w:type="dxa" w:w="1400"/>
            <w:shd w:fill="EDF1F6" w:val="clear"/>
            <w:tcMar>
              <w:top w:type="dxa" w:w="70"/>
              <w:left w:type="dxa" w:w="100"/>
              <w:bottom w:type="dxa" w:w="70"/>
              <w:right w:type="dxa" w:w="100"/>
            </w:tcMar>
          </w:tcPr>
          <w:p>
            <w:pPr>
              <w:spacing w:after="0" w:line="250"/>
            </w:pPr>
            <w:r>
              <w:rPr>
                <w:b/>
                <w:bCs/>
                <w:color w:val="22303F"/>
                <w:sz w:val="18"/>
                <w:szCs w:val="18"/>
              </w:rPr>
              <w:t xml:space="preserve">Owner</w:t>
            </w:r>
          </w:p>
        </w:tc>
        <w:tc>
          <w:tcPr>
            <w:tcW w:type="dxa" w:w="1426"/>
            <w:shd w:fill="EDF1F6" w:val="clear"/>
            <w:tcMar>
              <w:top w:type="dxa" w:w="70"/>
              <w:left w:type="dxa" w:w="100"/>
              <w:bottom w:type="dxa" w:w="70"/>
              <w:right w:type="dxa" w:w="100"/>
            </w:tcMar>
          </w:tcPr>
          <w:p>
            <w:pPr>
              <w:spacing w:after="0" w:line="250"/>
            </w:pPr>
            <w:r>
              <w:rPr>
                <w:b/>
                <w:bCs/>
                <w:color w:val="22303F"/>
                <w:sz w:val="18"/>
                <w:szCs w:val="18"/>
              </w:rPr>
              <w:t xml:space="preserve">Effort</w:t>
            </w:r>
          </w:p>
        </w:tc>
      </w:tr>
      <w:tr>
        <w:tc>
          <w:tcPr>
            <w:tcW w:type="dxa" w:w="400"/>
            <w:tcMar>
              <w:top w:type="dxa" w:w="70"/>
              <w:left w:type="dxa" w:w="100"/>
              <w:bottom w:type="dxa" w:w="70"/>
              <w:right w:type="dxa" w:w="100"/>
            </w:tcMar>
          </w:tcPr>
          <w:p>
            <w:pPr>
              <w:spacing w:after="0" w:line="250"/>
            </w:pPr>
            <w:r>
              <w:rPr>
                <w:color w:val="1A1A1A"/>
                <w:sz w:val="19"/>
                <w:szCs w:val="19"/>
              </w:rPr>
              <w:t xml:space="preserve">1</w:t>
            </w:r>
          </w:p>
        </w:tc>
        <w:tc>
          <w:tcPr>
            <w:tcW w:type="dxa" w:w="3300"/>
            <w:tcMar>
              <w:top w:type="dxa" w:w="70"/>
              <w:left w:type="dxa" w:w="100"/>
              <w:bottom w:type="dxa" w:w="70"/>
              <w:right w:type="dxa" w:w="100"/>
            </w:tcMar>
          </w:tcPr>
          <w:p>
            <w:pPr>
              <w:spacing w:after="0" w:line="250"/>
            </w:pPr>
            <w:r>
              <w:rPr>
                <w:color w:val="1A1A1A"/>
                <w:sz w:val="19"/>
                <w:szCs w:val="19"/>
              </w:rPr>
              <w:t xml:space="preserve">Run the pilot proposed in the briefing document — pick a programme that has already been through architecture governance, run it through the engine, compare what surfaces against what governance raised</w:t>
            </w:r>
          </w:p>
        </w:tc>
        <w:tc>
          <w:tcPr>
            <w:tcW w:type="dxa" w:w="2500"/>
            <w:tcMar>
              <w:top w:type="dxa" w:w="70"/>
              <w:left w:type="dxa" w:w="100"/>
              <w:bottom w:type="dxa" w:w="70"/>
              <w:right w:type="dxa" w:w="100"/>
            </w:tcMar>
          </w:tcPr>
          <w:p>
            <w:pPr>
              <w:spacing w:after="0" w:line="250"/>
            </w:pPr>
            <w:r>
              <w:rPr>
                <w:color w:val="1A1A1A"/>
                <w:sz w:val="19"/>
                <w:szCs w:val="19"/>
              </w:rPr>
              <w:t xml:space="preserve">A written verdict: adds material value / duplicates governance / needs calibration</w:t>
            </w:r>
          </w:p>
        </w:tc>
        <w:tc>
          <w:tcPr>
            <w:tcW w:type="dxa" w:w="1400"/>
            <w:tcMar>
              <w:top w:type="dxa" w:w="70"/>
              <w:left w:type="dxa" w:w="100"/>
              <w:bottom w:type="dxa" w:w="70"/>
              <w:right w:type="dxa" w:w="100"/>
            </w:tcMar>
          </w:tcPr>
          <w:p>
            <w:pPr>
              <w:spacing w:after="0" w:line="250"/>
            </w:pPr>
            <w:r>
              <w:rPr>
                <w:color w:val="1A1A1A"/>
                <w:sz w:val="19"/>
                <w:szCs w:val="19"/>
              </w:rPr>
              <w:t xml:space="preserve">Architecture leadership</w:t>
            </w:r>
          </w:p>
        </w:tc>
        <w:tc>
          <w:tcPr>
            <w:tcW w:type="dxa" w:w="1426"/>
            <w:tcMar>
              <w:top w:type="dxa" w:w="70"/>
              <w:left w:type="dxa" w:w="100"/>
              <w:bottom w:type="dxa" w:w="70"/>
              <w:right w:type="dxa" w:w="100"/>
            </w:tcMar>
          </w:tcPr>
          <w:p>
            <w:pPr>
              <w:spacing w:after="0" w:line="250"/>
            </w:pPr>
            <w:r>
              <w:rPr>
                <w:color w:val="1A1A1A"/>
                <w:sz w:val="19"/>
                <w:szCs w:val="19"/>
              </w:rPr>
              <w:t xml:space="preserve">1 week (mostly reading)</w:t>
            </w:r>
          </w:p>
        </w:tc>
      </w:tr>
      <w:tr>
        <w:tc>
          <w:tcPr>
            <w:tcW w:type="dxa" w:w="400"/>
            <w:tcMar>
              <w:top w:type="dxa" w:w="70"/>
              <w:left w:type="dxa" w:w="100"/>
              <w:bottom w:type="dxa" w:w="70"/>
              <w:right w:type="dxa" w:w="100"/>
            </w:tcMar>
          </w:tcPr>
          <w:p>
            <w:pPr>
              <w:spacing w:after="0" w:line="250"/>
            </w:pPr>
            <w:r>
              <w:rPr>
                <w:color w:val="1A1A1A"/>
                <w:sz w:val="19"/>
                <w:szCs w:val="19"/>
              </w:rPr>
              <w:t xml:space="preserve">2</w:t>
            </w:r>
          </w:p>
        </w:tc>
        <w:tc>
          <w:tcPr>
            <w:tcW w:type="dxa" w:w="3300"/>
            <w:tcMar>
              <w:top w:type="dxa" w:w="70"/>
              <w:left w:type="dxa" w:w="100"/>
              <w:bottom w:type="dxa" w:w="70"/>
              <w:right w:type="dxa" w:w="100"/>
            </w:tcMar>
          </w:tcPr>
          <w:p>
            <w:pPr>
              <w:spacing w:after="0" w:line="250"/>
            </w:pPr>
            <w:r>
              <w:rPr>
                <w:color w:val="1A1A1A"/>
                <w:sz w:val="19"/>
                <w:szCs w:val="19"/>
              </w:rPr>
              <w:t xml:space="preserve">Name a catalogue owner</w:t>
            </w:r>
          </w:p>
        </w:tc>
        <w:tc>
          <w:tcPr>
            <w:tcW w:type="dxa" w:w="2500"/>
            <w:tcMar>
              <w:top w:type="dxa" w:w="70"/>
              <w:left w:type="dxa" w:w="100"/>
              <w:bottom w:type="dxa" w:w="70"/>
              <w:right w:type="dxa" w:w="100"/>
            </w:tcMar>
          </w:tcPr>
          <w:p>
            <w:pPr>
              <w:spacing w:after="0" w:line="250"/>
            </w:pPr>
            <w:r>
              <w:rPr>
                <w:color w:val="1A1A1A"/>
                <w:sz w:val="19"/>
                <w:szCs w:val="19"/>
              </w:rPr>
              <w:t xml:space="preserve">Named individual with authority to accept changes to catalogue/ and catalogue/org/</w:t>
            </w:r>
          </w:p>
        </w:tc>
        <w:tc>
          <w:tcPr>
            <w:tcW w:type="dxa" w:w="1400"/>
            <w:tcMar>
              <w:top w:type="dxa" w:w="70"/>
              <w:left w:type="dxa" w:w="100"/>
              <w:bottom w:type="dxa" w:w="70"/>
              <w:right w:type="dxa" w:w="100"/>
            </w:tcMar>
          </w:tcPr>
          <w:p>
            <w:pPr>
              <w:spacing w:after="0" w:line="250"/>
            </w:pPr>
            <w:r>
              <w:rPr>
                <w:color w:val="1A1A1A"/>
                <w:sz w:val="19"/>
                <w:szCs w:val="19"/>
              </w:rPr>
              <w:t xml:space="preserve">Architecture leadership</w:t>
            </w:r>
          </w:p>
        </w:tc>
        <w:tc>
          <w:tcPr>
            <w:tcW w:type="dxa" w:w="1426"/>
            <w:tcMar>
              <w:top w:type="dxa" w:w="70"/>
              <w:left w:type="dxa" w:w="100"/>
              <w:bottom w:type="dxa" w:w="70"/>
              <w:right w:type="dxa" w:w="100"/>
            </w:tcMar>
          </w:tcPr>
          <w:p>
            <w:pPr>
              <w:spacing w:after="0" w:line="250"/>
            </w:pPr>
            <w:r>
              <w:rPr>
                <w:color w:val="1A1A1A"/>
                <w:sz w:val="19"/>
                <w:szCs w:val="19"/>
              </w:rPr>
              <w:t xml:space="preserve">Decision, then ~2h/month</w:t>
            </w:r>
          </w:p>
        </w:tc>
      </w:tr>
      <w:tr>
        <w:tc>
          <w:tcPr>
            <w:tcW w:type="dxa" w:w="400"/>
            <w:tcMar>
              <w:top w:type="dxa" w:w="70"/>
              <w:left w:type="dxa" w:w="100"/>
              <w:bottom w:type="dxa" w:w="70"/>
              <w:right w:type="dxa" w:w="100"/>
            </w:tcMar>
          </w:tcPr>
          <w:p>
            <w:pPr>
              <w:spacing w:after="0" w:line="250"/>
            </w:pPr>
            <w:r>
              <w:rPr>
                <w:color w:val="1A1A1A"/>
                <w:sz w:val="19"/>
                <w:szCs w:val="19"/>
              </w:rPr>
              <w:t xml:space="preserve">3</w:t>
            </w:r>
          </w:p>
        </w:tc>
        <w:tc>
          <w:tcPr>
            <w:tcW w:type="dxa" w:w="3300"/>
            <w:tcMar>
              <w:top w:type="dxa" w:w="70"/>
              <w:left w:type="dxa" w:w="100"/>
              <w:bottom w:type="dxa" w:w="70"/>
              <w:right w:type="dxa" w:w="100"/>
            </w:tcMar>
          </w:tcPr>
          <w:p>
            <w:pPr>
              <w:spacing w:after="0" w:line="250"/>
            </w:pPr>
            <w:r>
              <w:rPr>
                <w:color w:val="1A1A1A"/>
                <w:sz w:val="19"/>
                <w:szCs w:val="19"/>
              </w:rPr>
              <w:t xml:space="preserve">Have one specialist per domain review the never-assume list for their capability</w:t>
            </w:r>
          </w:p>
        </w:tc>
        <w:tc>
          <w:tcPr>
            <w:tcW w:type="dxa" w:w="2500"/>
            <w:tcMar>
              <w:top w:type="dxa" w:w="70"/>
              <w:left w:type="dxa" w:w="100"/>
              <w:bottom w:type="dxa" w:w="70"/>
              <w:right w:type="dxa" w:w="100"/>
            </w:tcMar>
          </w:tcPr>
          <w:p>
            <w:pPr>
              <w:spacing w:after="0" w:line="250"/>
            </w:pPr>
            <w:r>
              <w:rPr>
                <w:color w:val="1A1A1A"/>
                <w:sz w:val="19"/>
                <w:szCs w:val="19"/>
              </w:rPr>
              <w:t xml:space="preserve">321 items reviewed; corrections committed</w:t>
            </w:r>
          </w:p>
        </w:tc>
        <w:tc>
          <w:tcPr>
            <w:tcW w:type="dxa" w:w="1400"/>
            <w:tcMar>
              <w:top w:type="dxa" w:w="70"/>
              <w:left w:type="dxa" w:w="100"/>
              <w:bottom w:type="dxa" w:w="70"/>
              <w:right w:type="dxa" w:w="100"/>
            </w:tcMar>
          </w:tcPr>
          <w:p>
            <w:pPr>
              <w:spacing w:after="0" w:line="250"/>
            </w:pPr>
            <w:r>
              <w:rPr>
                <w:color w:val="1A1A1A"/>
                <w:sz w:val="19"/>
                <w:szCs w:val="19"/>
              </w:rPr>
              <w:t xml:space="preserve">The 13 Domain Architects (people, not agents)</w:t>
            </w:r>
          </w:p>
        </w:tc>
        <w:tc>
          <w:tcPr>
            <w:tcW w:type="dxa" w:w="1426"/>
            <w:tcMar>
              <w:top w:type="dxa" w:w="70"/>
              <w:left w:type="dxa" w:w="100"/>
              <w:bottom w:type="dxa" w:w="70"/>
              <w:right w:type="dxa" w:w="100"/>
            </w:tcMar>
          </w:tcPr>
          <w:p>
            <w:pPr>
              <w:spacing w:after="0" w:line="250"/>
            </w:pPr>
            <w:r>
              <w:rPr>
                <w:color w:val="1A1A1A"/>
                <w:sz w:val="19"/>
                <w:szCs w:val="19"/>
              </w:rPr>
              <w:t xml:space="preserve">0.5 day each</w:t>
            </w:r>
          </w:p>
        </w:tc>
      </w:tr>
      <w:tr>
        <w:tc>
          <w:tcPr>
            <w:tcW w:type="dxa" w:w="400"/>
            <w:tcMar>
              <w:top w:type="dxa" w:w="70"/>
              <w:left w:type="dxa" w:w="100"/>
              <w:bottom w:type="dxa" w:w="70"/>
              <w:right w:type="dxa" w:w="100"/>
            </w:tcMar>
          </w:tcPr>
          <w:p>
            <w:pPr>
              <w:spacing w:after="0" w:line="250"/>
            </w:pPr>
            <w:r>
              <w:rPr>
                <w:color w:val="1A1A1A"/>
                <w:sz w:val="19"/>
                <w:szCs w:val="19"/>
              </w:rPr>
              <w:t xml:space="preserve">4</w:t>
            </w:r>
          </w:p>
        </w:tc>
        <w:tc>
          <w:tcPr>
            <w:tcW w:type="dxa" w:w="3300"/>
            <w:tcMar>
              <w:top w:type="dxa" w:w="70"/>
              <w:left w:type="dxa" w:w="100"/>
              <w:bottom w:type="dxa" w:w="70"/>
              <w:right w:type="dxa" w:w="100"/>
            </w:tcMar>
          </w:tcPr>
          <w:p>
            <w:pPr>
              <w:spacing w:after="0" w:line="250"/>
            </w:pPr>
            <w:r>
              <w:rPr>
                <w:color w:val="1A1A1A"/>
                <w:sz w:val="19"/>
                <w:szCs w:val="19"/>
              </w:rPr>
              <w:t xml:space="preserve">Calibrate the option effort figures against real delivery data from three completed programmes</w:t>
            </w:r>
          </w:p>
        </w:tc>
        <w:tc>
          <w:tcPr>
            <w:tcW w:type="dxa" w:w="2500"/>
            <w:tcMar>
              <w:top w:type="dxa" w:w="70"/>
              <w:left w:type="dxa" w:w="100"/>
              <w:bottom w:type="dxa" w:w="70"/>
              <w:right w:type="dxa" w:w="100"/>
            </w:tcMar>
          </w:tcPr>
          <w:p>
            <w:pPr>
              <w:spacing w:after="0" w:line="250"/>
            </w:pPr>
            <w:r>
              <w:rPr>
                <w:color w:val="1A1A1A"/>
                <w:sz w:val="19"/>
                <w:szCs w:val="19"/>
              </w:rPr>
              <w:t xml:space="preserve">effort_weeks updated in catalogue/options/*.json; roadmap estimates become numbers rather than shapes</w:t>
            </w:r>
          </w:p>
        </w:tc>
        <w:tc>
          <w:tcPr>
            <w:tcW w:type="dxa" w:w="1400"/>
            <w:tcMar>
              <w:top w:type="dxa" w:w="70"/>
              <w:left w:type="dxa" w:w="100"/>
              <w:bottom w:type="dxa" w:w="70"/>
              <w:right w:type="dxa" w:w="100"/>
            </w:tcMar>
          </w:tcPr>
          <w:p>
            <w:pPr>
              <w:spacing w:after="0" w:line="250"/>
            </w:pPr>
            <w:r>
              <w:rPr>
                <w:color w:val="1A1A1A"/>
                <w:sz w:val="19"/>
                <w:szCs w:val="19"/>
              </w:rPr>
              <w:t xml:space="preserve">Delivery leadership + catalogue owner</w:t>
            </w:r>
          </w:p>
        </w:tc>
        <w:tc>
          <w:tcPr>
            <w:tcW w:type="dxa" w:w="1426"/>
            <w:tcMar>
              <w:top w:type="dxa" w:w="70"/>
              <w:left w:type="dxa" w:w="100"/>
              <w:bottom w:type="dxa" w:w="70"/>
              <w:right w:type="dxa" w:w="100"/>
            </w:tcMar>
          </w:tcPr>
          <w:p>
            <w:pPr>
              <w:spacing w:after="0" w:line="250"/>
            </w:pPr>
            <w:r>
              <w:rPr>
                <w:color w:val="1A1A1A"/>
                <w:sz w:val="19"/>
                <w:szCs w:val="19"/>
              </w:rPr>
              <w:t xml:space="preserve">1 workshop + edit</w:t>
            </w:r>
          </w:p>
        </w:tc>
      </w:tr>
    </w:tbl>
    <w:p>
      <w:pPr>
        <w:pStyle w:val="Heading2"/>
        <w:spacing w:after="120" w:before="280"/>
      </w:pPr>
      <w:r>
        <w:rPr>
          <w:b/>
          <w:bCs/>
          <w:color w:val="1F4E79"/>
          <w:sz w:val="24"/>
          <w:szCs w:val="24"/>
        </w:rPr>
        <w:t xml:space="preserve">4.2 Next — after the pilot verdict</w:t>
      </w:r>
    </w:p>
    <w:p>
      <w:pPr>
        <w:spacing w:after="140" w:line="276"/>
      </w:pPr>
      <w:r>
        <w:rPr>
          <w:color w:val="1A1A1A"/>
          <w:sz w:val="21"/>
          <w:szCs w:val="21"/>
        </w:rPr>
        <w:t xml:space="preserve">Only if the pilot outcome supports adoption.</w:t>
      </w:r>
    </w:p>
    <w:tbl>
      <w:tblPr>
        <w:tblW w:type="dxa" w:w="9026"/>
        <w:tblBorders>
          <w:top w:val="single" w:color="D9DEE5" w:sz="4"/>
          <w:left w:val="single" w:color="D9DEE5" w:sz="4"/>
          <w:bottom w:val="single" w:color="D9DEE5" w:sz="4"/>
          <w:right w:val="single" w:color="D9DEE5" w:sz="4"/>
          <w:insideH w:val="single" w:color="D9DEE5" w:sz="4"/>
          <w:insideV w:val="single" w:color="D9DEE5" w:sz="4"/>
        </w:tblBorders>
      </w:tblPr>
      <w:tblGrid>
        <w:gridCol w:w="400"/>
        <w:gridCol w:w="3500"/>
        <w:gridCol w:w="3200"/>
        <w:gridCol w:w="1926"/>
      </w:tblGrid>
      <w:tr>
        <w:trPr>
          <w:tblHeader/>
        </w:trPr>
        <w:tc>
          <w:tcPr>
            <w:tcW w:type="dxa" w:w="400"/>
            <w:shd w:fill="EDF1F6" w:val="clear"/>
            <w:tcMar>
              <w:top w:type="dxa" w:w="70"/>
              <w:left w:type="dxa" w:w="100"/>
              <w:bottom w:type="dxa" w:w="70"/>
              <w:right w:type="dxa" w:w="100"/>
            </w:tcMar>
          </w:tcPr>
          <w:p>
            <w:pPr>
              <w:spacing w:after="0" w:line="250"/>
            </w:pPr>
            <w:r>
              <w:rPr>
                <w:b/>
                <w:bCs/>
                <w:color w:val="22303F"/>
                <w:sz w:val="18"/>
                <w:szCs w:val="18"/>
              </w:rPr>
              <w:t xml:space="preserve">#</w:t>
            </w:r>
          </w:p>
        </w:tc>
        <w:tc>
          <w:tcPr>
            <w:tcW w:type="dxa" w:w="3500"/>
            <w:shd w:fill="EDF1F6" w:val="clear"/>
            <w:tcMar>
              <w:top w:type="dxa" w:w="70"/>
              <w:left w:type="dxa" w:w="100"/>
              <w:bottom w:type="dxa" w:w="70"/>
              <w:right w:type="dxa" w:w="100"/>
            </w:tcMar>
          </w:tcPr>
          <w:p>
            <w:pPr>
              <w:spacing w:after="0" w:line="250"/>
            </w:pPr>
            <w:r>
              <w:rPr>
                <w:b/>
                <w:bCs/>
                <w:color w:val="22303F"/>
                <w:sz w:val="18"/>
                <w:szCs w:val="18"/>
              </w:rPr>
              <w:t xml:space="preserve">Step</w:t>
            </w:r>
          </w:p>
        </w:tc>
        <w:tc>
          <w:tcPr>
            <w:tcW w:type="dxa" w:w="3200"/>
            <w:shd w:fill="EDF1F6" w:val="clear"/>
            <w:tcMar>
              <w:top w:type="dxa" w:w="70"/>
              <w:left w:type="dxa" w:w="100"/>
              <w:bottom w:type="dxa" w:w="70"/>
              <w:right w:type="dxa" w:w="100"/>
            </w:tcMar>
          </w:tcPr>
          <w:p>
            <w:pPr>
              <w:spacing w:after="0" w:line="250"/>
            </w:pPr>
            <w:r>
              <w:rPr>
                <w:b/>
                <w:bCs/>
                <w:color w:val="22303F"/>
                <w:sz w:val="18"/>
                <w:szCs w:val="18"/>
              </w:rPr>
              <w:t xml:space="preserve">Outcome</w:t>
            </w:r>
          </w:p>
        </w:tc>
        <w:tc>
          <w:tcPr>
            <w:tcW w:type="dxa" w:w="1926"/>
            <w:shd w:fill="EDF1F6" w:val="clear"/>
            <w:tcMar>
              <w:top w:type="dxa" w:w="70"/>
              <w:left w:type="dxa" w:w="100"/>
              <w:bottom w:type="dxa" w:w="70"/>
              <w:right w:type="dxa" w:w="100"/>
            </w:tcMar>
          </w:tcPr>
          <w:p>
            <w:pPr>
              <w:spacing w:after="0" w:line="250"/>
            </w:pPr>
            <w:r>
              <w:rPr>
                <w:b/>
                <w:bCs/>
                <w:color w:val="22303F"/>
                <w:sz w:val="18"/>
                <w:szCs w:val="18"/>
              </w:rPr>
              <w:t xml:space="preserve">Effort</w:t>
            </w:r>
          </w:p>
        </w:tc>
      </w:tr>
      <w:tr>
        <w:tc>
          <w:tcPr>
            <w:tcW w:type="dxa" w:w="400"/>
            <w:tcMar>
              <w:top w:type="dxa" w:w="70"/>
              <w:left w:type="dxa" w:w="100"/>
              <w:bottom w:type="dxa" w:w="70"/>
              <w:right w:type="dxa" w:w="100"/>
            </w:tcMar>
          </w:tcPr>
          <w:p>
            <w:pPr>
              <w:spacing w:after="0" w:line="250"/>
            </w:pPr>
            <w:r>
              <w:rPr>
                <w:color w:val="1A1A1A"/>
                <w:sz w:val="19"/>
                <w:szCs w:val="19"/>
              </w:rPr>
              <w:t xml:space="preserve">5</w:t>
            </w:r>
          </w:p>
        </w:tc>
        <w:tc>
          <w:tcPr>
            <w:tcW w:type="dxa" w:w="3500"/>
            <w:tcMar>
              <w:top w:type="dxa" w:w="70"/>
              <w:left w:type="dxa" w:w="100"/>
              <w:bottom w:type="dxa" w:w="70"/>
              <w:right w:type="dxa" w:w="100"/>
            </w:tcMar>
          </w:tcPr>
          <w:p>
            <w:pPr>
              <w:spacing w:after="0" w:line="250"/>
            </w:pPr>
            <w:r>
              <w:rPr>
                <w:color w:val="1A1A1A"/>
                <w:sz w:val="19"/>
                <w:szCs w:val="19"/>
              </w:rPr>
              <w:t xml:space="preserve">Stand up the CALM pattern library. Start with the FINOS CALM security domain schema plus one internal reference architecture. Prove the end-to-end pipeline before scale.</w:t>
            </w:r>
          </w:p>
        </w:tc>
        <w:tc>
          <w:tcPr>
            <w:tcW w:type="dxa" w:w="3200"/>
            <w:tcMar>
              <w:top w:type="dxa" w:w="70"/>
              <w:left w:type="dxa" w:w="100"/>
              <w:bottom w:type="dxa" w:w="70"/>
              <w:right w:type="dxa" w:w="100"/>
            </w:tcMar>
          </w:tcPr>
          <w:p>
            <w:pPr>
              <w:spacing w:after="0" w:line="250"/>
            </w:pPr>
            <w:r>
              <w:rPr>
                <w:color w:val="1A1A1A"/>
                <w:sz w:val="19"/>
                <w:szCs w:val="19"/>
              </w:rPr>
              <w:t xml:space="preserve">One CALM pattern parses, indexes, and can be retrieved with an SME filter</w:t>
            </w:r>
          </w:p>
        </w:tc>
        <w:tc>
          <w:tcPr>
            <w:tcW w:type="dxa" w:w="1926"/>
            <w:tcMar>
              <w:top w:type="dxa" w:w="70"/>
              <w:left w:type="dxa" w:w="100"/>
              <w:bottom w:type="dxa" w:w="70"/>
              <w:right w:type="dxa" w:w="100"/>
            </w:tcMar>
          </w:tcPr>
          <w:p>
            <w:pPr>
              <w:spacing w:after="0" w:line="250"/>
            </w:pPr>
            <w:r>
              <w:rPr>
                <w:color w:val="1A1A1A"/>
                <w:sz w:val="19"/>
                <w:szCs w:val="19"/>
              </w:rPr>
              <w:t xml:space="preserve">2 weeks</w:t>
            </w:r>
          </w:p>
        </w:tc>
      </w:tr>
      <w:tr>
        <w:tc>
          <w:tcPr>
            <w:tcW w:type="dxa" w:w="400"/>
            <w:tcMar>
              <w:top w:type="dxa" w:w="70"/>
              <w:left w:type="dxa" w:w="100"/>
              <w:bottom w:type="dxa" w:w="70"/>
              <w:right w:type="dxa" w:w="100"/>
            </w:tcMar>
          </w:tcPr>
          <w:p>
            <w:pPr>
              <w:spacing w:after="0" w:line="250"/>
            </w:pPr>
            <w:r>
              <w:rPr>
                <w:color w:val="1A1A1A"/>
                <w:sz w:val="19"/>
                <w:szCs w:val="19"/>
              </w:rPr>
              <w:t xml:space="preserve">6</w:t>
            </w:r>
          </w:p>
        </w:tc>
        <w:tc>
          <w:tcPr>
            <w:tcW w:type="dxa" w:w="3500"/>
            <w:tcMar>
              <w:top w:type="dxa" w:w="70"/>
              <w:left w:type="dxa" w:w="100"/>
              <w:bottom w:type="dxa" w:w="70"/>
              <w:right w:type="dxa" w:w="100"/>
            </w:tcMar>
          </w:tcPr>
          <w:p>
            <w:pPr>
              <w:spacing w:after="0" w:line="250"/>
            </w:pPr>
            <w:r>
              <w:rPr>
                <w:color w:val="1A1A1A"/>
                <w:sz w:val="19"/>
                <w:szCs w:val="19"/>
              </w:rPr>
              <w:t xml:space="preserve">Build the verdict contract and the coverage check. Every SME returns one of five typed states; a missing or unjustified verdict fails the run.</w:t>
            </w:r>
          </w:p>
        </w:tc>
        <w:tc>
          <w:tcPr>
            <w:tcW w:type="dxa" w:w="3200"/>
            <w:tcMar>
              <w:top w:type="dxa" w:w="70"/>
              <w:left w:type="dxa" w:w="100"/>
              <w:bottom w:type="dxa" w:w="70"/>
              <w:right w:type="dxa" w:w="100"/>
            </w:tcMar>
          </w:tcPr>
          <w:p>
            <w:pPr>
              <w:spacing w:after="0" w:line="250"/>
            </w:pPr>
            <w:r>
              <w:rPr>
                <w:color w:val="1A1A1A"/>
                <w:sz w:val="19"/>
                <w:szCs w:val="19"/>
              </w:rPr>
              <w:t xml:space="preserve">Test asserts coverage over 80 SMEs on a synthetic run. This is deterministic, small, and testable before any local model exists.</w:t>
            </w:r>
          </w:p>
        </w:tc>
        <w:tc>
          <w:tcPr>
            <w:tcW w:type="dxa" w:w="1926"/>
            <w:tcMar>
              <w:top w:type="dxa" w:w="70"/>
              <w:left w:type="dxa" w:w="100"/>
              <w:bottom w:type="dxa" w:w="70"/>
              <w:right w:type="dxa" w:w="100"/>
            </w:tcMar>
          </w:tcPr>
          <w:p>
            <w:pPr>
              <w:spacing w:after="0" w:line="250"/>
            </w:pPr>
            <w:r>
              <w:rPr>
                <w:color w:val="1A1A1A"/>
                <w:sz w:val="19"/>
                <w:szCs w:val="19"/>
              </w:rPr>
              <w:t xml:space="preserve">1 week</w:t>
            </w:r>
          </w:p>
        </w:tc>
      </w:tr>
      <w:tr>
        <w:tc>
          <w:tcPr>
            <w:tcW w:type="dxa" w:w="400"/>
            <w:tcMar>
              <w:top w:type="dxa" w:w="70"/>
              <w:left w:type="dxa" w:w="100"/>
              <w:bottom w:type="dxa" w:w="70"/>
              <w:right w:type="dxa" w:w="100"/>
            </w:tcMar>
          </w:tcPr>
          <w:p>
            <w:pPr>
              <w:spacing w:after="0" w:line="250"/>
            </w:pPr>
            <w:r>
              <w:rPr>
                <w:color w:val="1A1A1A"/>
                <w:sz w:val="19"/>
                <w:szCs w:val="19"/>
              </w:rPr>
              <w:t xml:space="preserve">7</w:t>
            </w:r>
          </w:p>
        </w:tc>
        <w:tc>
          <w:tcPr>
            <w:tcW w:type="dxa" w:w="3500"/>
            <w:tcMar>
              <w:top w:type="dxa" w:w="70"/>
              <w:left w:type="dxa" w:w="100"/>
              <w:bottom w:type="dxa" w:w="70"/>
              <w:right w:type="dxa" w:w="100"/>
            </w:tcMar>
          </w:tcPr>
          <w:p>
            <w:pPr>
              <w:spacing w:after="0" w:line="250"/>
            </w:pPr>
            <w:r>
              <w:rPr>
                <w:color w:val="1A1A1A"/>
                <w:sz w:val="19"/>
                <w:szCs w:val="19"/>
              </w:rPr>
              <w:t xml:space="preserve">Build the estate model — CALM as-is + CALM target, graph diff, SME projection. Feed the diff into each SME's slice.</w:t>
            </w:r>
          </w:p>
        </w:tc>
        <w:tc>
          <w:tcPr>
            <w:tcW w:type="dxa" w:w="3200"/>
            <w:tcMar>
              <w:top w:type="dxa" w:w="70"/>
              <w:left w:type="dxa" w:w="100"/>
              <w:bottom w:type="dxa" w:w="70"/>
              <w:right w:type="dxa" w:w="100"/>
            </w:tcMar>
          </w:tcPr>
          <w:p>
            <w:pPr>
              <w:spacing w:after="0" w:line="250"/>
            </w:pPr>
            <w:r>
              <w:rPr>
                <w:color w:val="1A1A1A"/>
                <w:sz w:val="19"/>
                <w:szCs w:val="19"/>
              </w:rPr>
              <w:t xml:space="preserve">A worked example runs end to end: brief + as-is CALM + target CALM → verdicts</w:t>
            </w:r>
          </w:p>
        </w:tc>
        <w:tc>
          <w:tcPr>
            <w:tcW w:type="dxa" w:w="1926"/>
            <w:tcMar>
              <w:top w:type="dxa" w:w="70"/>
              <w:left w:type="dxa" w:w="100"/>
              <w:bottom w:type="dxa" w:w="70"/>
              <w:right w:type="dxa" w:w="100"/>
            </w:tcMar>
          </w:tcPr>
          <w:p>
            <w:pPr>
              <w:spacing w:after="0" w:line="250"/>
            </w:pPr>
            <w:r>
              <w:rPr>
                <w:color w:val="1A1A1A"/>
                <w:sz w:val="19"/>
                <w:szCs w:val="19"/>
              </w:rPr>
              <w:t xml:space="preserve">2 weeks</w:t>
            </w:r>
          </w:p>
        </w:tc>
      </w:tr>
      <w:tr>
        <w:tc>
          <w:tcPr>
            <w:tcW w:type="dxa" w:w="400"/>
            <w:tcMar>
              <w:top w:type="dxa" w:w="70"/>
              <w:left w:type="dxa" w:w="100"/>
              <w:bottom w:type="dxa" w:w="70"/>
              <w:right w:type="dxa" w:w="100"/>
            </w:tcMar>
          </w:tcPr>
          <w:p>
            <w:pPr>
              <w:spacing w:after="0" w:line="250"/>
            </w:pPr>
            <w:r>
              <w:rPr>
                <w:color w:val="1A1A1A"/>
                <w:sz w:val="19"/>
                <w:szCs w:val="19"/>
              </w:rPr>
              <w:t xml:space="preserve">8</w:t>
            </w:r>
          </w:p>
        </w:tc>
        <w:tc>
          <w:tcPr>
            <w:tcW w:type="dxa" w:w="3500"/>
            <w:tcMar>
              <w:top w:type="dxa" w:w="70"/>
              <w:left w:type="dxa" w:w="100"/>
              <w:bottom w:type="dxa" w:w="70"/>
              <w:right w:type="dxa" w:w="100"/>
            </w:tcMar>
          </w:tcPr>
          <w:p>
            <w:pPr>
              <w:spacing w:after="0" w:line="250"/>
            </w:pPr>
            <w:r>
              <w:rPr>
                <w:color w:val="1A1A1A"/>
                <w:sz w:val="19"/>
                <w:szCs w:val="19"/>
              </w:rPr>
              <w:t xml:space="preserve">MCP boundary for pattern retrieval and estate query. Test with Claude first to remove the local-model variable.</w:t>
            </w:r>
          </w:p>
        </w:tc>
        <w:tc>
          <w:tcPr>
            <w:tcW w:type="dxa" w:w="3200"/>
            <w:tcMar>
              <w:top w:type="dxa" w:w="70"/>
              <w:left w:type="dxa" w:w="100"/>
              <w:bottom w:type="dxa" w:w="70"/>
              <w:right w:type="dxa" w:w="100"/>
            </w:tcMar>
          </w:tcPr>
          <w:p>
            <w:pPr>
              <w:spacing w:after="0" w:line="250"/>
            </w:pPr>
            <w:r>
              <w:rPr>
                <w:color w:val="1A1A1A"/>
                <w:sz w:val="19"/>
                <w:szCs w:val="19"/>
              </w:rPr>
              <w:t xml:space="preserve">An SME agent can call pattern_search and estate_slice as tools</w:t>
            </w:r>
          </w:p>
        </w:tc>
        <w:tc>
          <w:tcPr>
            <w:tcW w:type="dxa" w:w="1926"/>
            <w:tcMar>
              <w:top w:type="dxa" w:w="70"/>
              <w:left w:type="dxa" w:w="100"/>
              <w:bottom w:type="dxa" w:w="70"/>
              <w:right w:type="dxa" w:w="100"/>
            </w:tcMar>
          </w:tcPr>
          <w:p>
            <w:pPr>
              <w:spacing w:after="0" w:line="250"/>
            </w:pPr>
            <w:r>
              <w:rPr>
                <w:color w:val="1A1A1A"/>
                <w:sz w:val="19"/>
                <w:szCs w:val="19"/>
              </w:rPr>
              <w:t xml:space="preserve">1 week</w:t>
            </w:r>
          </w:p>
        </w:tc>
      </w:tr>
      <w:tr>
        <w:tc>
          <w:tcPr>
            <w:tcW w:type="dxa" w:w="400"/>
            <w:tcMar>
              <w:top w:type="dxa" w:w="70"/>
              <w:left w:type="dxa" w:w="100"/>
              <w:bottom w:type="dxa" w:w="70"/>
              <w:right w:type="dxa" w:w="100"/>
            </w:tcMar>
          </w:tcPr>
          <w:p>
            <w:pPr>
              <w:spacing w:after="0" w:line="250"/>
            </w:pPr>
            <w:r>
              <w:rPr>
                <w:color w:val="1A1A1A"/>
                <w:sz w:val="19"/>
                <w:szCs w:val="19"/>
              </w:rPr>
              <w:t xml:space="preserve">9</w:t>
            </w:r>
          </w:p>
        </w:tc>
        <w:tc>
          <w:tcPr>
            <w:tcW w:type="dxa" w:w="3500"/>
            <w:tcMar>
              <w:top w:type="dxa" w:w="70"/>
              <w:left w:type="dxa" w:w="100"/>
              <w:bottom w:type="dxa" w:w="70"/>
              <w:right w:type="dxa" w:w="100"/>
            </w:tcMar>
          </w:tcPr>
          <w:p>
            <w:pPr>
              <w:spacing w:after="0" w:line="250"/>
            </w:pPr>
            <w:r>
              <w:rPr>
                <w:color w:val="1A1A1A"/>
                <w:sz w:val="19"/>
                <w:szCs w:val="19"/>
              </w:rPr>
              <w:t xml:space="preserve">Swap in the local model (Qwen 30B for reasoning, small model for tagging). Measure protocol adherence, not just answers.</w:t>
            </w:r>
          </w:p>
        </w:tc>
        <w:tc>
          <w:tcPr>
            <w:tcW w:type="dxa" w:w="3200"/>
            <w:tcMar>
              <w:top w:type="dxa" w:w="70"/>
              <w:left w:type="dxa" w:w="100"/>
              <w:bottom w:type="dxa" w:w="70"/>
              <w:right w:type="dxa" w:w="100"/>
            </w:tcMar>
          </w:tcPr>
          <w:p>
            <w:pPr>
              <w:spacing w:after="0" w:line="250"/>
            </w:pPr>
            <w:r>
              <w:rPr>
                <w:color w:val="1A1A1A"/>
                <w:sz w:val="19"/>
                <w:szCs w:val="19"/>
              </w:rPr>
              <w:t xml:space="preserve">Escalation-adherence rate measured on a fixed test set. Small-model drift bounded.</w:t>
            </w:r>
          </w:p>
        </w:tc>
        <w:tc>
          <w:tcPr>
            <w:tcW w:type="dxa" w:w="1926"/>
            <w:tcMar>
              <w:top w:type="dxa" w:w="70"/>
              <w:left w:type="dxa" w:w="100"/>
              <w:bottom w:type="dxa" w:w="70"/>
              <w:right w:type="dxa" w:w="100"/>
            </w:tcMar>
          </w:tcPr>
          <w:p>
            <w:pPr>
              <w:spacing w:after="0" w:line="250"/>
            </w:pPr>
            <w:r>
              <w:rPr>
                <w:color w:val="1A1A1A"/>
                <w:sz w:val="19"/>
                <w:szCs w:val="19"/>
              </w:rPr>
              <w:t xml:space="preserve">1–2 weeks</w:t>
            </w:r>
          </w:p>
        </w:tc>
      </w:tr>
      <w:tr>
        <w:tc>
          <w:tcPr>
            <w:tcW w:type="dxa" w:w="400"/>
            <w:tcMar>
              <w:top w:type="dxa" w:w="70"/>
              <w:left w:type="dxa" w:w="100"/>
              <w:bottom w:type="dxa" w:w="70"/>
              <w:right w:type="dxa" w:w="100"/>
            </w:tcMar>
          </w:tcPr>
          <w:p>
            <w:pPr>
              <w:spacing w:after="0" w:line="250"/>
            </w:pPr>
            <w:r>
              <w:rPr>
                <w:color w:val="1A1A1A"/>
                <w:sz w:val="19"/>
                <w:szCs w:val="19"/>
              </w:rPr>
              <w:t xml:space="preserve">10</w:t>
            </w:r>
          </w:p>
        </w:tc>
        <w:tc>
          <w:tcPr>
            <w:tcW w:type="dxa" w:w="3500"/>
            <w:tcMar>
              <w:top w:type="dxa" w:w="70"/>
              <w:left w:type="dxa" w:w="100"/>
              <w:bottom w:type="dxa" w:w="70"/>
              <w:right w:type="dxa" w:w="100"/>
            </w:tcMar>
          </w:tcPr>
          <w:p>
            <w:pPr>
              <w:spacing w:after="0" w:line="250"/>
            </w:pPr>
            <w:r>
              <w:rPr>
                <w:color w:val="1A1A1A"/>
                <w:sz w:val="19"/>
                <w:szCs w:val="19"/>
              </w:rPr>
              <w:t xml:space="preserve">Extend the pattern corpus to AWS Architecture Center, Azure Architecture Center, GCP Architecture Framework — each on GitHub, cloneable rather than crawled.</w:t>
            </w:r>
          </w:p>
        </w:tc>
        <w:tc>
          <w:tcPr>
            <w:tcW w:type="dxa" w:w="3200"/>
            <w:tcMar>
              <w:top w:type="dxa" w:w="70"/>
              <w:left w:type="dxa" w:w="100"/>
              <w:bottom w:type="dxa" w:w="70"/>
              <w:right w:type="dxa" w:w="100"/>
            </w:tcMar>
          </w:tcPr>
          <w:p>
            <w:pPr>
              <w:spacing w:after="0" w:line="250"/>
            </w:pPr>
            <w:r>
              <w:rPr>
                <w:color w:val="1A1A1A"/>
                <w:sz w:val="19"/>
                <w:szCs w:val="19"/>
              </w:rPr>
              <w:t xml:space="preserve">Corpus size ~500 patterns with SME coverage across all 13 domains</w:t>
            </w:r>
          </w:p>
        </w:tc>
        <w:tc>
          <w:tcPr>
            <w:tcW w:type="dxa" w:w="1926"/>
            <w:tcMar>
              <w:top w:type="dxa" w:w="70"/>
              <w:left w:type="dxa" w:w="100"/>
              <w:bottom w:type="dxa" w:w="70"/>
              <w:right w:type="dxa" w:w="100"/>
            </w:tcMar>
          </w:tcPr>
          <w:p>
            <w:pPr>
              <w:spacing w:after="0" w:line="250"/>
            </w:pPr>
            <w:r>
              <w:rPr>
                <w:color w:val="1A1A1A"/>
                <w:sz w:val="19"/>
                <w:szCs w:val="19"/>
              </w:rPr>
              <w:t xml:space="preserve">2–3 weeks, mostly waiting on tagging quality</w:t>
            </w:r>
          </w:p>
        </w:tc>
      </w:tr>
    </w:tbl>
    <w:p>
      <w:pPr>
        <w:pStyle w:val="Heading2"/>
        <w:spacing w:after="120" w:before="280"/>
      </w:pPr>
      <w:r>
        <w:rPr>
          <w:b/>
          <w:bCs/>
          <w:color w:val="1F4E79"/>
          <w:sz w:val="24"/>
          <w:szCs w:val="24"/>
        </w:rPr>
        <w:t xml:space="preserve">4.3 Later — parked deliberately</w:t>
      </w:r>
    </w:p>
    <w:p>
      <w:pPr>
        <w:pStyle w:val="ListParagraph"/>
        <w:numPr>
          <w:ilvl w:val="0"/>
          <w:numId w:val="2"/>
        </w:numPr>
        <w:spacing w:after="80" w:line="276"/>
      </w:pPr>
      <w:r>
        <w:rPr>
          <w:color w:val="1A1A1A"/>
          <w:sz w:val="21"/>
          <w:szCs w:val="21"/>
        </w:rPr>
        <w:t xml:space="preserve">Deployment-challenge interrogation of individual patterns. The schema fields exist. Build once pattern retrieval is stable and there is real usage to learn from.</w:t>
      </w:r>
    </w:p>
    <w:p>
      <w:pPr>
        <w:pStyle w:val="ListParagraph"/>
        <w:numPr>
          <w:ilvl w:val="0"/>
          <w:numId w:val="2"/>
        </w:numPr>
        <w:spacing w:after="80" w:line="276"/>
      </w:pPr>
      <w:r>
        <w:rPr>
          <w:color w:val="1A1A1A"/>
          <w:sz w:val="21"/>
          <w:szCs w:val="21"/>
        </w:rPr>
        <w:t xml:space="preserve">Cross-project conflict detection. Catalogue fingerprints are already recorded. This is where the framework becomes portfolio-level rather than per-programme.</w:t>
      </w:r>
    </w:p>
    <w:p>
      <w:pPr>
        <w:pStyle w:val="ListParagraph"/>
        <w:numPr>
          <w:ilvl w:val="0"/>
          <w:numId w:val="2"/>
        </w:numPr>
        <w:spacing w:after="80" w:line="276"/>
      </w:pPr>
      <w:r>
        <w:rPr>
          <w:color w:val="1A1A1A"/>
          <w:sz w:val="21"/>
          <w:szCs w:val="21"/>
        </w:rPr>
        <w:t xml:space="preserve">The four uncovered domains — OFFSEC, HUMAN, PHYS, EMRG — brought into the engine with their own option catalogues. Currently they exist as Architects and SMEs but the engine does not assess them.</w:t>
      </w:r>
    </w:p>
    <w:p>
      <w:pPr>
        <w:pStyle w:val="Heading2"/>
        <w:spacing w:after="120" w:before="280"/>
      </w:pPr>
      <w:r>
        <w:rPr>
          <w:b/>
          <w:bCs/>
          <w:color w:val="1F4E79"/>
          <w:sz w:val="24"/>
          <w:szCs w:val="24"/>
        </w:rPr>
        <w:t xml:space="preserve">4.4 What not to do</w:t>
      </w:r>
    </w:p>
    <w:p>
      <w:pPr>
        <w:pBdr>
          <w:left w:val="single" w:color="C8912B" w:sz="18"/>
        </w:pBdr>
        <w:shd w:fill="FBF7EC" w:val="clear"/>
        <w:spacing w:after="160" w:before="100" w:line="276"/>
        <w:ind w:left="170" w:right="170"/>
      </w:pPr>
      <w:r>
        <w:rPr>
          <w:color w:val="4A3A16"/>
          <w:sz w:val="20"/>
          <w:szCs w:val="20"/>
        </w:rPr>
        <w:t xml:space="preserve">Do not put the pattern library or a local LLM in the reconciliation path. The engine's value is that it is deterministic and every score decomposes to a named signal — which is what makes it defensible under model-risk challenge. Bolt an LLM into orchestrate() and you lose both, permanently. Patterns inform what an SME says; they never change what the engine computes at runtime.</w:t>
      </w:r>
    </w:p>
    <w:p>
      <w:pPr>
        <w:pStyle w:val="ListParagraph"/>
        <w:numPr>
          <w:ilvl w:val="0"/>
          <w:numId w:val="2"/>
        </w:numPr>
        <w:spacing w:after="80" w:line="276"/>
      </w:pPr>
      <w:r>
        <w:rPr>
          <w:color w:val="1A1A1A"/>
          <w:sz w:val="21"/>
          <w:szCs w:val="21"/>
        </w:rPr>
        <w:t xml:space="preserve">Do not adopt CALM before validating the pipeline on two hand-authored files. CALM is young and the security domain schema will move — pin schema versions and expect at least one migration.</w:t>
      </w:r>
    </w:p>
    <w:p>
      <w:pPr>
        <w:pStyle w:val="ListParagraph"/>
        <w:numPr>
          <w:ilvl w:val="0"/>
          <w:numId w:val="2"/>
        </w:numPr>
        <w:spacing w:after="80" w:line="276"/>
      </w:pPr>
      <w:r>
        <w:rPr>
          <w:color w:val="1A1A1A"/>
          <w:sz w:val="21"/>
          <w:szCs w:val="21"/>
        </w:rPr>
        <w:t xml:space="preserve">Do not fund the local-model swap before the pattern library is delivering value with a strong model. Optimising the reasoning tier before the retrieval tier is stable is premature.</w:t>
      </w:r>
    </w:p>
    <w:p>
      <w:pPr>
        <w:pStyle w:val="ListParagraph"/>
        <w:numPr>
          <w:ilvl w:val="0"/>
          <w:numId w:val="2"/>
        </w:numPr>
        <w:spacing w:after="80" w:line="276"/>
      </w:pPr>
      <w:r>
        <w:rPr>
          <w:color w:val="1A1A1A"/>
          <w:sz w:val="21"/>
          <w:szCs w:val="21"/>
        </w:rPr>
        <w:t xml:space="preserve">Do not skip the pilot. A method oversold is a method ignored after its first miss.</w:t>
      </w:r>
    </w:p>
    <w:p>
      <w:r>
        <w:br w:type="page"/>
      </w:r>
    </w:p>
    <w:p>
      <w:pPr>
        <w:pStyle w:val="Heading1"/>
        <w:spacing w:after="160" w:before="360"/>
      </w:pPr>
      <w:r>
        <w:rPr>
          <w:b/>
          <w:bCs/>
          <w:color w:val="1F4E79"/>
          <w:sz w:val="30"/>
          <w:szCs w:val="30"/>
        </w:rPr>
        <w:t xml:space="preserve">5. The whole thing on one page</w:t>
      </w:r>
    </w:p>
    <w:p>
      <w:pPr>
        <w:pStyle w:val="Heading3"/>
        <w:spacing w:after="100" w:before="220"/>
      </w:pPr>
      <w:r>
        <w:rPr>
          <w:b/>
          <w:bCs/>
          <w:color w:val="1A1A1A"/>
          <w:sz w:val="21"/>
          <w:szCs w:val="21"/>
        </w:rPr>
        <w:t xml:space="preserve">What exists</w:t>
      </w:r>
    </w:p>
    <w:p>
      <w:pPr>
        <w:spacing w:after="140" w:line="276"/>
      </w:pPr>
      <w:r>
        <w:rPr>
          <w:color w:val="1A1A1A"/>
          <w:sz w:val="21"/>
          <w:szCs w:val="21"/>
        </w:rPr>
        <w:t xml:space="preserve">A working, deterministic base-plating engine over 9 validator domains, a 94-agent security architecture team over 13 domains, 34 catalogued options, 33 cross-domain rules, 321 explicit refusals to assume, 240 standing questions, 62 passing tests, and two published documents. Zero dependencies.</w:t>
      </w:r>
    </w:p>
    <w:p>
      <w:pPr>
        <w:pStyle w:val="Heading3"/>
        <w:spacing w:after="100" w:before="220"/>
      </w:pPr>
      <w:r>
        <w:rPr>
          <w:b/>
          <w:bCs/>
          <w:color w:val="1A1A1A"/>
          <w:sz w:val="21"/>
          <w:szCs w:val="21"/>
        </w:rPr>
        <w:t xml:space="preserve">What it does</w:t>
      </w:r>
    </w:p>
    <w:p>
      <w:pPr>
        <w:spacing w:after="140" w:line="276"/>
      </w:pPr>
      <w:r>
        <w:rPr>
          <w:color w:val="1A1A1A"/>
          <w:sz w:val="21"/>
          <w:szCs w:val="21"/>
        </w:rPr>
        <w:t xml:space="preserve">Reads any brief. Grades complexity. Selects options per domain. Reconciles across domains. Finds contradictions, gaps, unowned dependencies and unpinned numbers. Produces 9 low-level designs, an HLD, an executive pack, a decision ledger and an evidence ledger, per assessment, in an isolated project directory.</w:t>
      </w:r>
    </w:p>
    <w:p>
      <w:pPr>
        <w:pStyle w:val="Heading3"/>
        <w:spacing w:after="100" w:before="220"/>
      </w:pPr>
      <w:r>
        <w:rPr>
          <w:b/>
          <w:bCs/>
          <w:color w:val="1A1A1A"/>
          <w:sz w:val="21"/>
          <w:szCs w:val="21"/>
        </w:rPr>
        <w:t xml:space="preserve">What is next</w:t>
      </w:r>
    </w:p>
    <w:p>
      <w:pPr>
        <w:spacing w:after="140" w:line="276"/>
      </w:pPr>
      <w:r>
        <w:rPr>
          <w:color w:val="1A1A1A"/>
          <w:sz w:val="21"/>
          <w:szCs w:val="21"/>
        </w:rPr>
        <w:t xml:space="preserve">Pilot against a programme already through governance. If that lands, connect a CALM-based pattern library with SME tagging, add the estate-model diff, swap in a local model behind MCP. The design decisions for all of that are on the record.</w:t>
      </w:r>
    </w:p>
    <w:p>
      <w:pPr>
        <w:pStyle w:val="Heading3"/>
        <w:spacing w:after="100" w:before="220"/>
      </w:pPr>
      <w:r>
        <w:rPr>
          <w:b/>
          <w:bCs/>
          <w:color w:val="1A1A1A"/>
          <w:sz w:val="21"/>
          <w:szCs w:val="21"/>
        </w:rPr>
        <w:t xml:space="preserve">What it costs</w:t>
      </w:r>
    </w:p>
    <w:p>
      <w:pPr>
        <w:spacing w:after="140" w:line="276"/>
      </w:pPr>
      <w:r>
        <w:rPr>
          <w:color w:val="1A1A1A"/>
          <w:sz w:val="21"/>
          <w:szCs w:val="21"/>
        </w:rPr>
        <w:t xml:space="preserve">Nothing to install. Real investment is calibration and a named owner for the catalogue. The build ahead is measured in weeks, not months, and each step has a checkable outcome.</w:t>
      </w:r>
    </w:p>
    <w:p>
      <w:pPr>
        <w:pBdr>
          <w:bottom w:val="single" w:color="D9DEE5" w:sz="6"/>
        </w:pBdr>
        <w:spacing w:after="160" w:before="60"/>
      </w:pPr>
    </w:p>
    <w:p>
      <w:pPr>
        <w:spacing w:after="0" w:line="276"/>
      </w:pPr>
      <w:r>
        <w:rPr>
          <w:i/>
          <w:iCs/>
          <w:color w:val="5B6572"/>
          <w:sz w:val="19"/>
          <w:szCs w:val="19"/>
        </w:rPr>
        <w:t xml:space="preserve">Every figure in this document is read from the repository at build time. Rebuild with: node tools/docgen/recap.js docs/eas-recap.docx</w:t>
      </w:r>
    </w:p>
    <w:sectPr>
      <w:footerReference w:type="default" r:id="rId7"/>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3A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EAS — session recap and next steps</dc:title>
  <dc:creator>EAS framework</dc:creator>
  <cp:lastModifiedBy>Un-named</cp:lastModifiedBy>
  <cp:revision>1</cp:revision>
  <dcterms:created xsi:type="dcterms:W3CDTF">2026-09-01T08:22:03.125Z</dcterms:created>
  <dcterms:modified xsi:type="dcterms:W3CDTF">2026-09-01T08:22:03.125Z</dcterms:modified>
</cp:coreProperties>
</file>

<file path=docProps/custom.xml><?xml version="1.0" encoding="utf-8"?>
<Properties xmlns="http://schemas.openxmlformats.org/officeDocument/2006/custom-properties" xmlns:vt="http://schemas.openxmlformats.org/officeDocument/2006/docPropsVTypes"/>
</file>