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1F4E79"/>
          <w:sz w:val="52"/>
          <w:szCs w:val="52"/>
        </w:rPr>
        <w:t xml:space="preserve">Enterprise Architect Strategy</w:t>
      </w:r>
    </w:p>
    <w:p>
      <w:pPr>
        <w:spacing w:after="120"/>
      </w:pPr>
      <w:r>
        <w:rPr>
          <w:color w:val="5B6572"/>
          <w:sz w:val="28"/>
          <w:szCs w:val="28"/>
        </w:rPr>
        <w:t xml:space="preserve">Briefing document</w:t>
      </w:r>
    </w:p>
    <w:p>
      <w:pPr>
        <w:spacing w:after="360"/>
      </w:pPr>
      <w:r>
        <w:rPr>
          <w:i/>
          <w:iCs/>
          <w:color w:val="5B6572"/>
          <w:sz w:val="22"/>
          <w:szCs w:val="22"/>
        </w:rPr>
        <w:t xml:space="preserve">A repeatable method for making an architecture direction defensible before it is committed</w:t>
      </w:r>
    </w:p>
    <w:p>
      <w:pPr>
        <w:pBdr>
          <w:bottom w:val="single" w:color="D9DEE5" w:sz="6"/>
        </w:pBdr>
        <w:spacing w:after="160" w:before="60"/>
      </w:pP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200"/>
        <w:gridCol w:w="6826"/>
      </w:tblGrid>
      <w:tr>
        <w:trPr>
          <w:tblHeader/>
        </w:trPr>
        <w:tc>
          <w:tcPr>
            <w:tcW w:type="dxa" w:w="2200"/>
            <w:shd w:fill="EDF1F6" w:val="clear"/>
            <w:tcMar>
              <w:top w:type="dxa" w:w="70"/>
              <w:left w:type="dxa" w:w="100"/>
              <w:bottom w:type="dxa" w:w="70"/>
              <w:right w:type="dxa" w:w="100"/>
            </w:tcMar>
          </w:tcPr>
          <w:p>
            <w:pPr>
              <w:spacing w:after="0" w:line="250"/>
            </w:pPr>
            <w:r>
              <w:rPr>
                <w:b/>
                <w:bCs/>
                <w:color w:val="22303F"/>
                <w:sz w:val="18"/>
                <w:szCs w:val="18"/>
              </w:rPr>
              <w:t xml:space="preserve"/>
            </w:r>
          </w:p>
        </w:tc>
        <w:tc>
          <w:tcPr>
            <w:tcW w:type="dxa" w:w="6826"/>
            <w:shd w:fill="EDF1F6" w:val="clear"/>
            <w:tcMar>
              <w:top w:type="dxa" w:w="70"/>
              <w:left w:type="dxa" w:w="100"/>
              <w:bottom w:type="dxa" w:w="70"/>
              <w:right w:type="dxa" w:w="100"/>
            </w:tcMar>
          </w:tcPr>
          <w:p>
            <w:pPr>
              <w:spacing w:after="0" w:line="250"/>
            </w:pPr>
            <w:r>
              <w:rPr>
                <w:b/>
                <w:bCs/>
                <w:color w:val="22303F"/>
                <w:sz w:val="18"/>
                <w:szCs w:val="18"/>
              </w:rPr>
              <w:t xml:space="preserve"/>
            </w:r>
          </w:p>
        </w:tc>
      </w:tr>
      <w:tr>
        <w:tc>
          <w:tcPr>
            <w:tcW w:type="dxa" w:w="2200"/>
            <w:tcMar>
              <w:top w:type="dxa" w:w="70"/>
              <w:left w:type="dxa" w:w="100"/>
              <w:bottom w:type="dxa" w:w="70"/>
              <w:right w:type="dxa" w:w="100"/>
            </w:tcMar>
          </w:tcPr>
          <w:p>
            <w:pPr>
              <w:spacing w:after="0" w:line="250"/>
            </w:pPr>
            <w:r>
              <w:rPr>
                <w:color w:val="1A1A1A"/>
                <w:sz w:val="19"/>
                <w:szCs w:val="19"/>
              </w:rPr>
              <w:t xml:space="preserve">Purpose</w:t>
            </w:r>
          </w:p>
        </w:tc>
        <w:tc>
          <w:tcPr>
            <w:tcW w:type="dxa" w:w="6826"/>
            <w:tcMar>
              <w:top w:type="dxa" w:w="70"/>
              <w:left w:type="dxa" w:w="100"/>
              <w:bottom w:type="dxa" w:w="70"/>
              <w:right w:type="dxa" w:w="100"/>
            </w:tcMar>
          </w:tcPr>
          <w:p>
            <w:pPr>
              <w:spacing w:after="0" w:line="250"/>
            </w:pPr>
            <w:r>
              <w:rPr>
                <w:color w:val="1A1A1A"/>
                <w:sz w:val="19"/>
                <w:szCs w:val="19"/>
              </w:rPr>
              <w:t xml:space="preserve">To brief a decision on whether to adopt this method, and what adopting it would require</w:t>
            </w:r>
          </w:p>
        </w:tc>
      </w:tr>
      <w:tr>
        <w:tc>
          <w:tcPr>
            <w:tcW w:type="dxa" w:w="2200"/>
            <w:tcMar>
              <w:top w:type="dxa" w:w="70"/>
              <w:left w:type="dxa" w:w="100"/>
              <w:bottom w:type="dxa" w:w="70"/>
              <w:right w:type="dxa" w:w="100"/>
            </w:tcMar>
          </w:tcPr>
          <w:p>
            <w:pPr>
              <w:spacing w:after="0" w:line="250"/>
            </w:pPr>
            <w:r>
              <w:rPr>
                <w:color w:val="1A1A1A"/>
                <w:sz w:val="19"/>
                <w:szCs w:val="19"/>
              </w:rPr>
              <w:t xml:space="preserve">Audience</w:t>
            </w:r>
          </w:p>
        </w:tc>
        <w:tc>
          <w:tcPr>
            <w:tcW w:type="dxa" w:w="6826"/>
            <w:tcMar>
              <w:top w:type="dxa" w:w="70"/>
              <w:left w:type="dxa" w:w="100"/>
              <w:bottom w:type="dxa" w:w="70"/>
              <w:right w:type="dxa" w:w="100"/>
            </w:tcMar>
          </w:tcPr>
          <w:p>
            <w:pPr>
              <w:spacing w:after="0" w:line="250"/>
            </w:pPr>
            <w:r>
              <w:rPr>
                <w:color w:val="1A1A1A"/>
                <w:sz w:val="19"/>
                <w:szCs w:val="19"/>
              </w:rPr>
              <w:t xml:space="preserve">Architecture leadership, security leadership, and the forum that accepts residual risk</w:t>
            </w:r>
          </w:p>
        </w:tc>
      </w:tr>
      <w:tr>
        <w:tc>
          <w:tcPr>
            <w:tcW w:type="dxa" w:w="2200"/>
            <w:tcMar>
              <w:top w:type="dxa" w:w="70"/>
              <w:left w:type="dxa" w:w="100"/>
              <w:bottom w:type="dxa" w:w="70"/>
              <w:right w:type="dxa" w:w="100"/>
            </w:tcMar>
          </w:tcPr>
          <w:p>
            <w:pPr>
              <w:spacing w:after="0" w:line="250"/>
            </w:pPr>
            <w:r>
              <w:rPr>
                <w:color w:val="1A1A1A"/>
                <w:sz w:val="19"/>
                <w:szCs w:val="19"/>
              </w:rPr>
              <w:t xml:space="preserve">Status</w:t>
            </w:r>
          </w:p>
        </w:tc>
        <w:tc>
          <w:tcPr>
            <w:tcW w:type="dxa" w:w="6826"/>
            <w:tcMar>
              <w:top w:type="dxa" w:w="70"/>
              <w:left w:type="dxa" w:w="100"/>
              <w:bottom w:type="dxa" w:w="70"/>
              <w:right w:type="dxa" w:w="100"/>
            </w:tcMar>
          </w:tcPr>
          <w:p>
            <w:pPr>
              <w:spacing w:after="0" w:line="250"/>
            </w:pPr>
            <w:r>
              <w:rPr>
                <w:color w:val="1A1A1A"/>
                <w:sz w:val="19"/>
                <w:szCs w:val="19"/>
              </w:rPr>
              <w:t xml:space="preserve">Working proof of concept. Runs end to end. Content needs organisational calibration before it is relied on.</w:t>
            </w:r>
          </w:p>
        </w:tc>
      </w:tr>
      <w:tr>
        <w:tc>
          <w:tcPr>
            <w:tcW w:type="dxa" w:w="2200"/>
            <w:tcMar>
              <w:top w:type="dxa" w:w="70"/>
              <w:left w:type="dxa" w:w="100"/>
              <w:bottom w:type="dxa" w:w="70"/>
              <w:right w:type="dxa" w:w="100"/>
            </w:tcMar>
          </w:tcPr>
          <w:p>
            <w:pPr>
              <w:spacing w:after="0" w:line="250"/>
            </w:pPr>
            <w:r>
              <w:rPr>
                <w:color w:val="1A1A1A"/>
                <w:sz w:val="19"/>
                <w:szCs w:val="19"/>
              </w:rPr>
              <w:t xml:space="preserve">What is asked</w:t>
            </w:r>
          </w:p>
        </w:tc>
        <w:tc>
          <w:tcPr>
            <w:tcW w:type="dxa" w:w="6826"/>
            <w:tcMar>
              <w:top w:type="dxa" w:w="70"/>
              <w:left w:type="dxa" w:w="100"/>
              <w:bottom w:type="dxa" w:w="70"/>
              <w:right w:type="dxa" w:w="100"/>
            </w:tcMar>
          </w:tcPr>
          <w:p>
            <w:pPr>
              <w:spacing w:after="0" w:line="250"/>
            </w:pPr>
            <w:r>
              <w:rPr>
                <w:color w:val="1A1A1A"/>
                <w:sz w:val="19"/>
                <w:szCs w:val="19"/>
              </w:rPr>
              <w:t xml:space="preserve">Four decisions, listed in section 8</w:t>
            </w:r>
          </w:p>
        </w:tc>
      </w:tr>
    </w:tbl>
    <w:p>
      <w:r>
        <w:br w:type="page"/>
      </w:r>
    </w:p>
    <w:p>
      <w:pPr>
        <w:pStyle w:val="Heading1"/>
        <w:spacing w:after="160" w:before="360"/>
      </w:pPr>
      <w:r>
        <w:rPr>
          <w:b/>
          <w:bCs/>
          <w:color w:val="1F4E79"/>
          <w:sz w:val="30"/>
          <w:szCs w:val="30"/>
        </w:rPr>
        <w:t xml:space="preserve">1. The briefing in one page</w:t>
      </w:r>
    </w:p>
    <w:p>
      <w:pPr>
        <w:pBdr>
          <w:left w:val="single" w:color="1F4E79" w:sz="18"/>
        </w:pBdr>
        <w:shd w:fill="EFF4FA" w:val="clear"/>
        <w:spacing w:after="160" w:before="100" w:line="276"/>
        <w:ind w:left="170" w:right="170"/>
      </w:pPr>
      <w:r>
        <w:rPr>
          <w:color w:val="18324D"/>
          <w:sz w:val="20"/>
          <w:szCs w:val="20"/>
        </w:rPr>
        <w:t xml:space="preserve">Architecture assurance fails between domains, not within them. Each domain review is internally complete; the failures live in what two domains each assumed the other was handling. This framework makes that specific failure visible, and refuses to fill it with a plausible guess.</w:t>
      </w:r>
    </w:p>
    <w:p>
      <w:pPr>
        <w:pStyle w:val="Heading3"/>
        <w:spacing w:after="100" w:before="220"/>
      </w:pPr>
      <w:r>
        <w:rPr>
          <w:b/>
          <w:bCs/>
          <w:color w:val="1A1A1A"/>
          <w:sz w:val="21"/>
          <w:szCs w:val="21"/>
        </w:rPr>
        <w:t xml:space="preserve">What it is</w:t>
      </w:r>
    </w:p>
    <w:p>
      <w:pPr>
        <w:spacing w:after="140" w:line="276"/>
      </w:pPr>
      <w:r>
        <w:rPr>
          <w:color w:val="1A1A1A"/>
          <w:sz w:val="21"/>
          <w:szCs w:val="21"/>
        </w:rPr>
        <w:t xml:space="preserve">Two halves. A deterministic engine that reads a brief, has 9 validator domains rank 34 catalogued architecture options against it, then interrogates every option against every other and grades a verdict — in under a fifth of a second. And a team of 94 agents in three tiers over 13 security domains, holding the depth and the current facts a catalogue cannot.</w:t>
      </w:r>
    </w:p>
    <w:p>
      <w:pPr>
        <w:pStyle w:val="Heading3"/>
        <w:spacing w:after="100" w:before="220"/>
      </w:pPr>
      <w:r>
        <w:rPr>
          <w:b/>
          <w:bCs/>
          <w:color w:val="1A1A1A"/>
          <w:sz w:val="21"/>
          <w:szCs w:val="21"/>
        </w:rPr>
        <w:t xml:space="preserve">What it produces, per assessment</w:t>
      </w:r>
    </w:p>
    <w:p>
      <w:pPr>
        <w:spacing w:after="140" w:line="276"/>
      </w:pPr>
      <w:r>
        <w:rPr>
          <w:color w:val="1A1A1A"/>
          <w:sz w:val="21"/>
          <w:szCs w:val="21"/>
        </w:rPr>
        <w:t xml:space="preserve">Nine low-level designs, one end-to-end high-level design, one executive pack, a base plate artefact, a decision ledger and an evidence ledger — 33 artefacts in an isolated project directory, plus a self-contained dashboard that can be emailed.</w:t>
      </w:r>
    </w:p>
    <w:p>
      <w:pPr>
        <w:pStyle w:val="Heading3"/>
        <w:spacing w:after="100" w:before="220"/>
      </w:pPr>
      <w:r>
        <w:rPr>
          <w:b/>
          <w:bCs/>
          <w:color w:val="1A1A1A"/>
          <w:sz w:val="21"/>
          <w:szCs w:val="21"/>
        </w:rPr>
        <w:t xml:space="preserve">Why it is different from a review</w:t>
      </w:r>
    </w:p>
    <w:p>
      <w:pPr>
        <w:spacing w:after="140" w:line="276"/>
      </w:pPr>
      <w:r>
        <w:rPr>
          <w:color w:val="1A1A1A"/>
          <w:sz w:val="21"/>
          <w:szCs w:val="21"/>
        </w:rPr>
        <w:t xml:space="preserve">A review tells you what is wrong with what was written. This tells you what was never written down: 321 specific assumptions the SMEs are instructed to refuse, and 240 standing questions each with a named owner. Silence in a brief is recorded as an open assumption rather than read as absence of requirement.</w:t>
      </w:r>
    </w:p>
    <w:p>
      <w:pPr>
        <w:pStyle w:val="Heading3"/>
        <w:spacing w:after="100" w:before="220"/>
      </w:pPr>
      <w:r>
        <w:rPr>
          <w:b/>
          <w:bCs/>
          <w:color w:val="1A1A1A"/>
          <w:sz w:val="21"/>
          <w:szCs w:val="21"/>
        </w:rPr>
        <w:t xml:space="preserve">Evidence it works</w:t>
      </w:r>
    </w:p>
    <w:p>
      <w:pPr>
        <w:spacing w:after="140" w:line="276"/>
      </w:pPr>
      <w:r>
        <w:rPr>
          <w:color w:val="1A1A1A"/>
          <w:sz w:val="21"/>
          <w:szCs w:val="21"/>
        </w:rPr>
        <w:t xml:space="preserve">Two worked examples in section 5. On a SASE migration it found a dependency both the network and data domains had each assumed the other owned. On an agentic CI/CD pipeline it overruled two domains' own preferences together, because neither position contained an agent alone.</w:t>
      </w:r>
    </w:p>
    <w:p>
      <w:pPr>
        <w:pStyle w:val="Heading3"/>
        <w:spacing w:after="100" w:before="220"/>
      </w:pPr>
      <w:r>
        <w:rPr>
          <w:b/>
          <w:bCs/>
          <w:color w:val="1A1A1A"/>
          <w:sz w:val="21"/>
          <w:szCs w:val="21"/>
        </w:rPr>
        <w:t xml:space="preserve">What it is not</w:t>
      </w:r>
    </w:p>
    <w:p>
      <w:pPr>
        <w:spacing w:after="140" w:line="276"/>
      </w:pPr>
      <w:r>
        <w:rPr>
          <w:color w:val="1A1A1A"/>
          <w:sz w:val="21"/>
          <w:szCs w:val="21"/>
        </w:rPr>
        <w:t xml:space="preserve">Not a replacement for architects. Not a decision-maker. It produces the questions and the reconciliation; people still answer and decide. Four of the thirteen security domains are outside the engine and need their Architects engaged explicitly.</w:t>
      </w:r>
    </w:p>
    <w:p>
      <w:pPr>
        <w:pStyle w:val="Heading3"/>
        <w:spacing w:after="100" w:before="220"/>
      </w:pPr>
      <w:r>
        <w:rPr>
          <w:b/>
          <w:bCs/>
          <w:color w:val="1A1A1A"/>
          <w:sz w:val="21"/>
          <w:szCs w:val="21"/>
        </w:rPr>
        <w:t xml:space="preserve">What adopting it costs</w:t>
      </w:r>
    </w:p>
    <w:p>
      <w:pPr>
        <w:spacing w:after="140" w:line="276"/>
      </w:pPr>
      <w:r>
        <w:rPr>
          <w:color w:val="1A1A1A"/>
          <w:sz w:val="21"/>
          <w:szCs w:val="21"/>
        </w:rPr>
        <w:t xml:space="preserve">Nothing to install — standard-library Python, no dependencies, no network access. The real investment is calibrating the catalogue against this organisation's own delivery data and naming an owner for it.</w:t>
      </w:r>
    </w:p>
    <w:p>
      <w:r>
        <w:br w:type="page"/>
      </w:r>
    </w:p>
    <w:p>
      <w:pPr>
        <w:pStyle w:val="Heading1"/>
        <w:spacing w:after="160" w:before="360"/>
      </w:pPr>
      <w:r>
        <w:rPr>
          <w:b/>
          <w:bCs/>
          <w:color w:val="1F4E79"/>
          <w:sz w:val="30"/>
          <w:szCs w:val="30"/>
        </w:rPr>
        <w:t xml:space="preserve">2. The problem this addresses</w:t>
      </w:r>
    </w:p>
    <w:p>
      <w:pPr>
        <w:spacing w:after="140" w:line="276"/>
      </w:pPr>
      <w:r>
        <w:rPr>
          <w:color w:val="1A1A1A"/>
          <w:sz w:val="21"/>
          <w:szCs w:val="21"/>
        </w:rPr>
        <w:t xml:space="preserve">Architecture assurance on a significant programme is well covered domain by domain. Identity reviews identity, network reviews network, and each produces a competent position. The failures that reach production are rarely inside one of those positions.</w:t>
      </w:r>
    </w:p>
    <w:p>
      <w:pPr>
        <w:pStyle w:val="Heading2"/>
        <w:spacing w:after="120" w:before="280"/>
      </w:pPr>
      <w:r>
        <w:rPr>
          <w:b/>
          <w:bCs/>
          <w:color w:val="1F4E79"/>
          <w:sz w:val="24"/>
          <w:szCs w:val="24"/>
        </w:rPr>
        <w:t xml:space="preserve">2.1 Three specific failure modes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900"/>
        <w:gridCol w:w="3800"/>
        <w:gridCol w:w="3326"/>
      </w:tblGrid>
      <w:tr>
        <w:trPr>
          <w:tblHeader/>
        </w:trPr>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Failure</w:t>
            </w:r>
          </w:p>
        </w:tc>
        <w:tc>
          <w:tcPr>
            <w:tcW w:type="dxa" w:w="3800"/>
            <w:shd w:fill="EDF1F6" w:val="clear"/>
            <w:tcMar>
              <w:top w:type="dxa" w:w="70"/>
              <w:left w:type="dxa" w:w="100"/>
              <w:bottom w:type="dxa" w:w="70"/>
              <w:right w:type="dxa" w:w="100"/>
            </w:tcMar>
          </w:tcPr>
          <w:p>
            <w:pPr>
              <w:spacing w:after="0" w:line="250"/>
            </w:pPr>
            <w:r>
              <w:rPr>
                <w:b/>
                <w:bCs/>
                <w:color w:val="22303F"/>
                <w:sz w:val="18"/>
                <w:szCs w:val="18"/>
              </w:rPr>
              <w:t xml:space="preserve">What it looks like</w:t>
            </w:r>
          </w:p>
        </w:tc>
        <w:tc>
          <w:tcPr>
            <w:tcW w:type="dxa" w:w="3326"/>
            <w:shd w:fill="EDF1F6" w:val="clear"/>
            <w:tcMar>
              <w:top w:type="dxa" w:w="70"/>
              <w:left w:type="dxa" w:w="100"/>
              <w:bottom w:type="dxa" w:w="70"/>
              <w:right w:type="dxa" w:w="100"/>
            </w:tcMar>
          </w:tcPr>
          <w:p>
            <w:pPr>
              <w:spacing w:after="0" w:line="250"/>
            </w:pPr>
            <w:r>
              <w:rPr>
                <w:b/>
                <w:bCs/>
                <w:color w:val="22303F"/>
                <w:sz w:val="18"/>
                <w:szCs w:val="18"/>
              </w:rPr>
              <w:t xml:space="preserve">Why review does not catch it</w:t>
            </w:r>
          </w:p>
        </w:tc>
      </w:tr>
      <w:tr>
        <w:tc>
          <w:tcPr>
            <w:tcW w:type="dxa" w:w="1900"/>
            <w:tcMar>
              <w:top w:type="dxa" w:w="70"/>
              <w:left w:type="dxa" w:w="100"/>
              <w:bottom w:type="dxa" w:w="70"/>
              <w:right w:type="dxa" w:w="100"/>
            </w:tcMar>
          </w:tcPr>
          <w:p>
            <w:pPr>
              <w:spacing w:after="0" w:line="250"/>
            </w:pPr>
            <w:r>
              <w:rPr>
                <w:color w:val="1A1A1A"/>
                <w:sz w:val="19"/>
                <w:szCs w:val="19"/>
              </w:rPr>
              <w:t xml:space="preserve">The unowned dependency</w:t>
            </w:r>
          </w:p>
        </w:tc>
        <w:tc>
          <w:tcPr>
            <w:tcW w:type="dxa" w:w="3800"/>
            <w:tcMar>
              <w:top w:type="dxa" w:w="70"/>
              <w:left w:type="dxa" w:w="100"/>
              <w:bottom w:type="dxa" w:w="70"/>
              <w:right w:type="dxa" w:w="100"/>
            </w:tcMar>
          </w:tcPr>
          <w:p>
            <w:pPr>
              <w:spacing w:after="0" w:line="250"/>
            </w:pPr>
            <w:r>
              <w:rPr>
                <w:color w:val="1A1A1A"/>
                <w:sz w:val="19"/>
                <w:szCs w:val="19"/>
              </w:rPr>
              <w:t xml:space="preserve">Two domains have each assumed the other handles something. Both outputs are internally complete and neither has a gap.</w:t>
            </w:r>
          </w:p>
        </w:tc>
        <w:tc>
          <w:tcPr>
            <w:tcW w:type="dxa" w:w="3326"/>
            <w:tcMar>
              <w:top w:type="dxa" w:w="70"/>
              <w:left w:type="dxa" w:w="100"/>
              <w:bottom w:type="dxa" w:w="70"/>
              <w:right w:type="dxa" w:w="100"/>
            </w:tcMar>
          </w:tcPr>
          <w:p>
            <w:pPr>
              <w:spacing w:after="0" w:line="250"/>
            </w:pPr>
            <w:r>
              <w:rPr>
                <w:color w:val="1A1A1A"/>
                <w:sz w:val="19"/>
                <w:szCs w:val="19"/>
              </w:rPr>
              <w:t xml:space="preserve">From inside either domain the assumption is a reasonable reading of the other's scope. Nobody reviewing one domain can see it.</w:t>
            </w:r>
          </w:p>
        </w:tc>
      </w:tr>
      <w:tr>
        <w:tc>
          <w:tcPr>
            <w:tcW w:type="dxa" w:w="1900"/>
            <w:tcMar>
              <w:top w:type="dxa" w:w="70"/>
              <w:left w:type="dxa" w:w="100"/>
              <w:bottom w:type="dxa" w:w="70"/>
              <w:right w:type="dxa" w:w="100"/>
            </w:tcMar>
          </w:tcPr>
          <w:p>
            <w:pPr>
              <w:spacing w:after="0" w:line="250"/>
            </w:pPr>
            <w:r>
              <w:rPr>
                <w:color w:val="1A1A1A"/>
                <w:sz w:val="19"/>
                <w:szCs w:val="19"/>
              </w:rPr>
              <w:t xml:space="preserve">The unasked question</w:t>
            </w:r>
          </w:p>
        </w:tc>
        <w:tc>
          <w:tcPr>
            <w:tcW w:type="dxa" w:w="3800"/>
            <w:tcMar>
              <w:top w:type="dxa" w:w="70"/>
              <w:left w:type="dxa" w:w="100"/>
              <w:bottom w:type="dxa" w:w="70"/>
              <w:right w:type="dxa" w:w="100"/>
            </w:tcMar>
          </w:tcPr>
          <w:p>
            <w:pPr>
              <w:spacing w:after="0" w:line="250"/>
            </w:pPr>
            <w:r>
              <w:rPr>
                <w:color w:val="1A1A1A"/>
                <w:sz w:val="19"/>
                <w:szCs w:val="19"/>
              </w:rPr>
              <w:t xml:space="preserve">A brief is silent on non-production data, or on where inspection decrypts. Every downstream position is built on an assumption nobody stated.</w:t>
            </w:r>
          </w:p>
        </w:tc>
        <w:tc>
          <w:tcPr>
            <w:tcW w:type="dxa" w:w="3326"/>
            <w:tcMar>
              <w:top w:type="dxa" w:w="70"/>
              <w:left w:type="dxa" w:w="100"/>
              <w:bottom w:type="dxa" w:w="70"/>
              <w:right w:type="dxa" w:w="100"/>
            </w:tcMar>
          </w:tcPr>
          <w:p>
            <w:pPr>
              <w:spacing w:after="0" w:line="250"/>
            </w:pPr>
            <w:r>
              <w:rPr>
                <w:color w:val="1A1A1A"/>
                <w:sz w:val="19"/>
                <w:szCs w:val="19"/>
              </w:rPr>
              <w:t xml:space="preserve">A reviewer checks what is written. Silence reads as out of scope rather than as an unanswered question.</w:t>
            </w:r>
          </w:p>
        </w:tc>
      </w:tr>
      <w:tr>
        <w:tc>
          <w:tcPr>
            <w:tcW w:type="dxa" w:w="1900"/>
            <w:tcMar>
              <w:top w:type="dxa" w:w="70"/>
              <w:left w:type="dxa" w:w="100"/>
              <w:bottom w:type="dxa" w:w="70"/>
              <w:right w:type="dxa" w:w="100"/>
            </w:tcMar>
          </w:tcPr>
          <w:p>
            <w:pPr>
              <w:spacing w:after="0" w:line="250"/>
            </w:pPr>
            <w:r>
              <w:rPr>
                <w:color w:val="1A1A1A"/>
                <w:sz w:val="19"/>
                <w:szCs w:val="19"/>
              </w:rPr>
              <w:t xml:space="preserve">The unpinned number</w:t>
            </w:r>
          </w:p>
        </w:tc>
        <w:tc>
          <w:tcPr>
            <w:tcW w:type="dxa" w:w="3800"/>
            <w:tcMar>
              <w:top w:type="dxa" w:w="70"/>
              <w:left w:type="dxa" w:w="100"/>
              <w:bottom w:type="dxa" w:w="70"/>
              <w:right w:type="dxa" w:w="100"/>
            </w:tcMar>
          </w:tcPr>
          <w:p>
            <w:pPr>
              <w:spacing w:after="0" w:line="250"/>
            </w:pPr>
            <w:r>
              <w:rPr>
                <w:color w:val="1A1A1A"/>
                <w:sz w:val="19"/>
                <w:szCs w:val="19"/>
              </w:rPr>
              <w:t xml:space="preserve">A position is qualitative. </w:t>
            </w:r>
          </w:p>
          <w:p>
            <w:pPr>
              <w:spacing w:after="0" w:line="250"/>
            </w:pPr>
            <w:r>
              <w:rPr>
                <w:color w:val="1A1A1A"/>
                <w:sz w:val="19"/>
                <w:szCs w:val="19"/>
              </w:rPr>
              <w:t xml:space="preserve"/>
            </w:r>
          </w:p>
          <w:p>
            <w:pPr>
              <w:spacing w:after="0" w:line="250"/>
            </w:pPr>
            <w:r>
              <w:rPr>
                <w:color w:val="1A1A1A"/>
                <w:sz w:val="19"/>
                <w:szCs w:val="19"/>
              </w:rPr>
              <w:t xml:space="preserve">"We will allow outbound to partners" is agreed, sized later, and the sizing turns out to change the design.</w:t>
            </w:r>
          </w:p>
        </w:tc>
        <w:tc>
          <w:tcPr>
            <w:tcW w:type="dxa" w:w="3326"/>
            <w:tcMar>
              <w:top w:type="dxa" w:w="70"/>
              <w:left w:type="dxa" w:w="100"/>
              <w:bottom w:type="dxa" w:w="70"/>
              <w:right w:type="dxa" w:w="100"/>
            </w:tcMar>
          </w:tcPr>
          <w:p>
            <w:pPr>
              <w:spacing w:after="0" w:line="250"/>
            </w:pPr>
            <w:r>
              <w:rPr>
                <w:color w:val="1A1A1A"/>
                <w:sz w:val="19"/>
                <w:szCs w:val="19"/>
              </w:rPr>
              <w:t xml:space="preserve">Qualitative positions pass review. The number that would have invalidated them is produced after the design is fixed.</w:t>
            </w:r>
          </w:p>
        </w:tc>
      </w:tr>
    </w:tbl>
    <w:p>
      <w:pPr>
        <w:pStyle w:val="Heading2"/>
        <w:spacing w:after="120" w:before="280"/>
      </w:pPr>
      <w:r>
        <w:rPr>
          <w:b/>
          <w:bCs/>
          <w:color w:val="1F4E79"/>
          <w:sz w:val="24"/>
          <w:szCs w:val="24"/>
        </w:rPr>
        <w:t xml:space="preserve">2.2 Why more review does not fix it</w:t>
      </w:r>
    </w:p>
    <w:p>
      <w:pPr>
        <w:spacing w:after="140" w:line="276"/>
      </w:pPr>
      <w:r>
        <w:rPr>
          <w:color w:val="1A1A1A"/>
          <w:sz w:val="21"/>
          <w:szCs w:val="21"/>
        </w:rPr>
        <w:t xml:space="preserve">Adding reviewers adds depth inside domains, which is where the assurance is already adequate. The gaps are structural: they exist because no single reviewer holds two domains at once, and because a competent specialist asked a narrow question gives a competent narrow answer. Reconciliation is a different activity from review, and it is usually nobody's job.</w:t>
      </w:r>
    </w:p>
    <w:p>
      <w:pPr>
        <w:pBdr>
          <w:left w:val="single" w:color="1F4E79" w:sz="18"/>
        </w:pBdr>
        <w:shd w:fill="EFF4FA" w:val="clear"/>
        <w:spacing w:after="160" w:before="100" w:line="276"/>
        <w:ind w:left="170" w:right="170"/>
      </w:pPr>
      <w:r>
        <w:rPr>
          <w:color w:val="18324D"/>
          <w:sz w:val="20"/>
          <w:szCs w:val="20"/>
        </w:rPr>
        <w:t xml:space="preserve">The framework's core claim is narrow and testable: given the same brief, it will find cross-domain contradictions, unowned dependencies and unpinned numbers that a domain-by-domain review structurally cannot, and it will do so the same way every time.</w:t>
      </w:r>
    </w:p>
    <w:p>
      <w:r>
        <w:br w:type="page"/>
      </w:r>
    </w:p>
    <w:p>
      <w:pPr>
        <w:pStyle w:val="Heading1"/>
        <w:spacing w:after="160" w:before="360"/>
      </w:pPr>
      <w:r>
        <w:rPr>
          <w:b/>
          <w:bCs/>
          <w:color w:val="1F4E79"/>
          <w:sz w:val="30"/>
          <w:szCs w:val="30"/>
        </w:rPr>
        <w:t xml:space="preserve">3. What it is</w:t>
      </w:r>
    </w:p>
    <w:p>
      <w:pPr>
        <w:pStyle w:val="Heading2"/>
        <w:spacing w:after="120" w:before="280"/>
      </w:pPr>
      <w:r>
        <w:rPr>
          <w:b/>
          <w:bCs/>
          <w:color w:val="1F4E79"/>
          <w:sz w:val="24"/>
          <w:szCs w:val="24"/>
        </w:rPr>
        <w:t xml:space="preserve">3.1 The engine — what is stable</w:t>
      </w:r>
    </w:p>
    <w:p>
      <w:pPr>
        <w:spacing w:after="140" w:line="276"/>
      </w:pPr>
      <w:r>
        <w:rPr>
          <w:color w:val="1A1A1A"/>
          <w:sz w:val="21"/>
          <w:szCs w:val="21"/>
        </w:rPr>
        <w:t xml:space="preserve">A deterministic application. It reads a brief of any length, grades its complexity T1 to T4 from evidence in the text, and has nine validator domains each score a catalogued set of architecture options against it. It then reconciles those choices end to end.</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600"/>
        <w:gridCol w:w="6426"/>
      </w:tblGrid>
      <w:tr>
        <w:trPr>
          <w:tblHeader/>
        </w:trPr>
        <w:tc>
          <w:tcPr>
            <w:tcW w:type="dxa" w:w="2600"/>
            <w:shd w:fill="EDF1F6" w:val="clear"/>
            <w:tcMar>
              <w:top w:type="dxa" w:w="70"/>
              <w:left w:type="dxa" w:w="100"/>
              <w:bottom w:type="dxa" w:w="70"/>
              <w:right w:type="dxa" w:w="100"/>
            </w:tcMar>
          </w:tcPr>
          <w:p>
            <w:pPr>
              <w:spacing w:after="0" w:line="250"/>
            </w:pPr>
            <w:r>
              <w:rPr>
                <w:b/>
                <w:bCs/>
                <w:color w:val="22303F"/>
                <w:sz w:val="18"/>
                <w:szCs w:val="18"/>
              </w:rPr>
              <w:t xml:space="preserve"/>
            </w:r>
          </w:p>
        </w:tc>
        <w:tc>
          <w:tcPr>
            <w:tcW w:type="dxa" w:w="6426"/>
            <w:shd w:fill="EDF1F6" w:val="clear"/>
            <w:tcMar>
              <w:top w:type="dxa" w:w="70"/>
              <w:left w:type="dxa" w:w="100"/>
              <w:bottom w:type="dxa" w:w="70"/>
              <w:right w:type="dxa" w:w="100"/>
            </w:tcMar>
          </w:tcPr>
          <w:p>
            <w:pPr>
              <w:spacing w:after="0" w:line="250"/>
            </w:pPr>
            <w:r>
              <w:rPr>
                <w:b/>
                <w:bCs/>
                <w:color w:val="22303F"/>
                <w:sz w:val="18"/>
                <w:szCs w:val="18"/>
              </w:rPr>
              <w:t xml:space="preserve"/>
            </w:r>
          </w:p>
        </w:tc>
      </w:tr>
      <w:tr>
        <w:tc>
          <w:tcPr>
            <w:tcW w:type="dxa" w:w="2600"/>
            <w:tcMar>
              <w:top w:type="dxa" w:w="70"/>
              <w:left w:type="dxa" w:w="100"/>
              <w:bottom w:type="dxa" w:w="70"/>
              <w:right w:type="dxa" w:w="100"/>
            </w:tcMar>
          </w:tcPr>
          <w:p>
            <w:pPr>
              <w:spacing w:after="0" w:line="250"/>
            </w:pPr>
            <w:r>
              <w:rPr>
                <w:color w:val="1A1A1A"/>
                <w:sz w:val="19"/>
                <w:szCs w:val="19"/>
              </w:rPr>
              <w:t xml:space="preserve">Validator domains</w:t>
            </w:r>
          </w:p>
        </w:tc>
        <w:tc>
          <w:tcPr>
            <w:tcW w:type="dxa" w:w="6426"/>
            <w:tcMar>
              <w:top w:type="dxa" w:w="70"/>
              <w:left w:type="dxa" w:w="100"/>
              <w:bottom w:type="dxa" w:w="70"/>
              <w:right w:type="dxa" w:w="100"/>
            </w:tcMar>
          </w:tcPr>
          <w:p>
            <w:pPr>
              <w:spacing w:after="0" w:line="250"/>
            </w:pPr>
            <w:r>
              <w:rPr>
                <w:color w:val="1A1A1A"/>
                <w:sz w:val="19"/>
                <w:szCs w:val="19"/>
              </w:rPr>
              <w:t xml:space="preserve">9</w:t>
            </w:r>
          </w:p>
        </w:tc>
      </w:tr>
      <w:tr>
        <w:tc>
          <w:tcPr>
            <w:tcW w:type="dxa" w:w="2600"/>
            <w:tcMar>
              <w:top w:type="dxa" w:w="70"/>
              <w:left w:type="dxa" w:w="100"/>
              <w:bottom w:type="dxa" w:w="70"/>
              <w:right w:type="dxa" w:w="100"/>
            </w:tcMar>
          </w:tcPr>
          <w:p>
            <w:pPr>
              <w:spacing w:after="0" w:line="250"/>
            </w:pPr>
            <w:r>
              <w:rPr>
                <w:color w:val="1A1A1A"/>
                <w:sz w:val="19"/>
                <w:szCs w:val="19"/>
              </w:rPr>
              <w:t xml:space="preserve">Catalogued options</w:t>
            </w:r>
          </w:p>
        </w:tc>
        <w:tc>
          <w:tcPr>
            <w:tcW w:type="dxa" w:w="6426"/>
            <w:tcMar>
              <w:top w:type="dxa" w:w="70"/>
              <w:left w:type="dxa" w:w="100"/>
              <w:bottom w:type="dxa" w:w="70"/>
              <w:right w:type="dxa" w:w="100"/>
            </w:tcMar>
          </w:tcPr>
          <w:p>
            <w:pPr>
              <w:spacing w:after="0" w:line="250"/>
            </w:pPr>
            <w:r>
              <w:rPr>
                <w:color w:val="1A1A1A"/>
                <w:sz w:val="19"/>
                <w:szCs w:val="19"/>
              </w:rPr>
              <w:t xml:space="preserve">34 — each a full posture bundle, tactical through strategic</w:t>
            </w:r>
          </w:p>
        </w:tc>
      </w:tr>
      <w:tr>
        <w:tc>
          <w:tcPr>
            <w:tcW w:type="dxa" w:w="2600"/>
            <w:tcMar>
              <w:top w:type="dxa" w:w="70"/>
              <w:left w:type="dxa" w:w="100"/>
              <w:bottom w:type="dxa" w:w="70"/>
              <w:right w:type="dxa" w:w="100"/>
            </w:tcMar>
          </w:tcPr>
          <w:p>
            <w:pPr>
              <w:spacing w:after="0" w:line="250"/>
            </w:pPr>
            <w:r>
              <w:rPr>
                <w:color w:val="1A1A1A"/>
                <w:sz w:val="19"/>
                <w:szCs w:val="19"/>
              </w:rPr>
              <w:t xml:space="preserve">Shared capabilities</w:t>
            </w:r>
          </w:p>
        </w:tc>
        <w:tc>
          <w:tcPr>
            <w:tcW w:type="dxa" w:w="6426"/>
            <w:tcMar>
              <w:top w:type="dxa" w:w="70"/>
              <w:left w:type="dxa" w:w="100"/>
              <w:bottom w:type="dxa" w:w="70"/>
              <w:right w:type="dxa" w:w="100"/>
            </w:tcMar>
          </w:tcPr>
          <w:p>
            <w:pPr>
              <w:spacing w:after="0" w:line="250"/>
            </w:pPr>
            <w:r>
              <w:rPr>
                <w:color w:val="1A1A1A"/>
                <w:sz w:val="19"/>
                <w:szCs w:val="19"/>
              </w:rPr>
              <w:t xml:space="preserve">62 — the vocabulary domains use to state what they give and need</w:t>
            </w:r>
          </w:p>
        </w:tc>
      </w:tr>
      <w:tr>
        <w:tc>
          <w:tcPr>
            <w:tcW w:type="dxa" w:w="2600"/>
            <w:tcMar>
              <w:top w:type="dxa" w:w="70"/>
              <w:left w:type="dxa" w:w="100"/>
              <w:bottom w:type="dxa" w:w="70"/>
              <w:right w:type="dxa" w:w="100"/>
            </w:tcMar>
          </w:tcPr>
          <w:p>
            <w:pPr>
              <w:spacing w:after="0" w:line="250"/>
            </w:pPr>
            <w:r>
              <w:rPr>
                <w:color w:val="1A1A1A"/>
                <w:sz w:val="19"/>
                <w:szCs w:val="19"/>
              </w:rPr>
              <w:t xml:space="preserve">Cross-domain rules</w:t>
            </w:r>
          </w:p>
        </w:tc>
        <w:tc>
          <w:tcPr>
            <w:tcW w:type="dxa" w:w="6426"/>
            <w:tcMar>
              <w:top w:type="dxa" w:w="70"/>
              <w:left w:type="dxa" w:w="100"/>
              <w:bottom w:type="dxa" w:w="70"/>
              <w:right w:type="dxa" w:w="100"/>
            </w:tcMar>
          </w:tcPr>
          <w:p>
            <w:pPr>
              <w:spacing w:after="0" w:line="250"/>
            </w:pPr>
            <w:r>
              <w:rPr>
                <w:color w:val="1A1A1A"/>
                <w:sz w:val="19"/>
                <w:szCs w:val="19"/>
              </w:rPr>
              <w:t xml:space="preserve">33 — incompatibilities, emergent risks, questions that only arise in combination</w:t>
            </w:r>
          </w:p>
        </w:tc>
      </w:tr>
      <w:tr>
        <w:tc>
          <w:tcPr>
            <w:tcW w:type="dxa" w:w="2600"/>
            <w:tcMar>
              <w:top w:type="dxa" w:w="70"/>
              <w:left w:type="dxa" w:w="100"/>
              <w:bottom w:type="dxa" w:w="70"/>
              <w:right w:type="dxa" w:w="100"/>
            </w:tcMar>
          </w:tcPr>
          <w:p>
            <w:pPr>
              <w:spacing w:after="0" w:line="250"/>
            </w:pPr>
            <w:r>
              <w:rPr>
                <w:color w:val="1A1A1A"/>
                <w:sz w:val="19"/>
                <w:szCs w:val="19"/>
              </w:rPr>
              <w:t xml:space="preserve">Intake signals</w:t>
            </w:r>
          </w:p>
        </w:tc>
        <w:tc>
          <w:tcPr>
            <w:tcW w:type="dxa" w:w="6426"/>
            <w:tcMar>
              <w:top w:type="dxa" w:w="70"/>
              <w:left w:type="dxa" w:w="100"/>
              <w:bottom w:type="dxa" w:w="70"/>
              <w:right w:type="dxa" w:w="100"/>
            </w:tcMar>
          </w:tcPr>
          <w:p>
            <w:pPr>
              <w:spacing w:after="0" w:line="250"/>
            </w:pPr>
            <w:r>
              <w:rPr>
                <w:color w:val="1A1A1A"/>
                <w:sz w:val="19"/>
                <w:szCs w:val="19"/>
              </w:rPr>
              <w:t xml:space="preserve">28 — each carrying the phrase in the brief that fired it</w:t>
            </w:r>
          </w:p>
        </w:tc>
      </w:tr>
      <w:tr>
        <w:tc>
          <w:tcPr>
            <w:tcW w:type="dxa" w:w="2600"/>
            <w:tcMar>
              <w:top w:type="dxa" w:w="70"/>
              <w:left w:type="dxa" w:w="100"/>
              <w:bottom w:type="dxa" w:w="70"/>
              <w:right w:type="dxa" w:w="100"/>
            </w:tcMar>
          </w:tcPr>
          <w:p>
            <w:pPr>
              <w:spacing w:after="0" w:line="250"/>
            </w:pPr>
            <w:r>
              <w:rPr>
                <w:color w:val="1A1A1A"/>
                <w:sz w:val="19"/>
                <w:szCs w:val="19"/>
              </w:rPr>
              <w:t xml:space="preserve">Run time</w:t>
            </w:r>
          </w:p>
        </w:tc>
        <w:tc>
          <w:tcPr>
            <w:tcW w:type="dxa" w:w="6426"/>
            <w:tcMar>
              <w:top w:type="dxa" w:w="70"/>
              <w:left w:type="dxa" w:w="100"/>
              <w:bottom w:type="dxa" w:w="70"/>
              <w:right w:type="dxa" w:w="100"/>
            </w:tcMar>
          </w:tcPr>
          <w:p>
            <w:pPr>
              <w:spacing w:after="0" w:line="250"/>
            </w:pPr>
            <w:r>
              <w:rPr>
                <w:color w:val="1A1A1A"/>
                <w:sz w:val="19"/>
                <w:szCs w:val="19"/>
              </w:rPr>
              <w:t xml:space="preserve">Under 0.2 seconds for a full reconciliation and re-render</w:t>
            </w:r>
          </w:p>
        </w:tc>
      </w:tr>
    </w:tbl>
    <w:p>
      <w:pPr>
        <w:spacing w:after="140" w:line="276"/>
      </w:pPr>
      <w:r>
        <w:rPr>
          <w:color w:val="1A1A1A"/>
          <w:sz w:val="21"/>
          <w:szCs w:val="21"/>
        </w:rPr>
        <w:t xml:space="preserve">Options interlock: each declares what it gives the estate and what it needs back. A domain's choice is viable only if the rest of the estate supplies what it depends on. That is what makes the reconciliation more than a checklist.</w:t>
      </w:r>
    </w:p>
    <w:p>
      <w:pPr>
        <w:pBdr>
          <w:left w:val="single" w:color="C8912B" w:sz="18"/>
        </w:pBdr>
        <w:shd w:fill="FBF7EC" w:val="clear"/>
        <w:spacing w:after="160" w:before="100" w:line="276"/>
        <w:ind w:left="170" w:right="170"/>
      </w:pPr>
      <w:r>
        <w:rPr>
          <w:color w:val="4A3A16"/>
          <w:sz w:val="20"/>
          <w:szCs w:val="20"/>
        </w:rPr>
        <w:t xml:space="preserve">Determinism matters more than it sounds. The same catalogue, brief, overrides and pinned numbers always produce the same base plate — which is what lets two assessments be compared, and what lets a decision taken on one be defended six months later.</w:t>
      </w:r>
    </w:p>
    <w:p>
      <w:pPr>
        <w:pStyle w:val="Heading2"/>
        <w:spacing w:after="120" w:before="280"/>
      </w:pPr>
      <w:r>
        <w:rPr>
          <w:b/>
          <w:bCs/>
          <w:color w:val="1F4E79"/>
          <w:sz w:val="24"/>
          <w:szCs w:val="24"/>
        </w:rPr>
        <w:t xml:space="preserve">3.2 The team — what changes</w:t>
      </w:r>
    </w:p>
    <w:p>
      <w:pPr>
        <w:spacing w:after="140" w:line="276"/>
      </w:pPr>
      <w:r>
        <w:rPr>
          <w:color w:val="1A1A1A"/>
          <w:sz w:val="21"/>
          <w:szCs w:val="21"/>
        </w:rPr>
        <w:t xml:space="preserve">94 agents in three tiers over 13 security domains. The engine holds durable patterns; the team holds depth and the facts that change with a product release or a supervisory statement.</w:t>
      </w:r>
    </w:p>
    <w:p>
      <w:pPr>
        <w:shd w:fill="F4F6F9" w:val="clear"/>
        <w:spacing w:after="0" w:line="240"/>
        <w:ind w:left="170" w:right="170"/>
      </w:pPr>
      <w:r>
        <w:rPr>
          <w:rFonts w:ascii="Consolas" w:cs="Consolas" w:eastAsia="Consolas" w:hAnsi="Consolas"/>
          <w:color w:val="22303F"/>
          <w:sz w:val="18"/>
          <w:szCs w:val="18"/>
        </w:rPr>
        <w:t xml:space="preserve">                    master-architect             tier 0   evaluates, reconciles, grades</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w:t>
      </w:r>
    </w:p>
    <w:p>
      <w:pPr>
        <w:shd w:fill="F4F6F9" w:val="clear"/>
        <w:spacing w:after="0" w:line="240"/>
        <w:ind w:left="170" w:right="170"/>
      </w:pPr>
      <w:r>
        <w:rPr>
          <w:rFonts w:ascii="Consolas" w:cs="Consolas" w:eastAsia="Consolas" w:hAnsi="Consolas"/>
          <w:color w:val="22303F"/>
          <w:sz w:val="18"/>
          <w:szCs w:val="18"/>
        </w:rPr>
        <w:t xml:space="preserve">      |                    |                    |</w:t>
      </w:r>
    </w:p>
    <w:p>
      <w:pPr>
        <w:shd w:fill="F4F6F9" w:val="clear"/>
        <w:spacing w:after="0" w:line="240"/>
        <w:ind w:left="170" w:right="170"/>
      </w:pPr>
      <w:r>
        <w:rPr>
          <w:rFonts w:ascii="Consolas" w:cs="Consolas" w:eastAsia="Consolas" w:hAnsi="Consolas"/>
          <w:color w:val="22303F"/>
          <w:sz w:val="18"/>
          <w:szCs w:val="18"/>
        </w:rPr>
        <w:t xml:space="preserve">architect-grc      architect-cloud      architect-secops ...  tier 1  x13</w:t>
      </w:r>
    </w:p>
    <w:p>
      <w:pPr>
        <w:shd w:fill="F4F6F9" w:val="clear"/>
        <w:spacing w:after="0" w:line="240"/>
        <w:ind w:left="170" w:right="170"/>
      </w:pPr>
      <w:r>
        <w:rPr>
          <w:rFonts w:ascii="Consolas" w:cs="Consolas" w:eastAsia="Consolas" w:hAnsi="Consolas"/>
          <w:color w:val="22303F"/>
          <w:sz w:val="18"/>
          <w:szCs w:val="18"/>
        </w:rPr>
        <w:t xml:space="preserve">      |                    |                    |</w:t>
      </w:r>
    </w:p>
    <w:p>
      <w:pPr>
        <w:shd w:fill="F4F6F9" w:val="clear"/>
        <w:spacing w:after="0" w:line="240"/>
        <w:ind w:left="170" w:right="170"/>
      </w:pPr>
      <w:r>
        <w:rPr>
          <w:rFonts w:ascii="Consolas" w:cs="Consolas" w:eastAsia="Consolas" w:hAnsi="Consolas"/>
          <w:color w:val="22303F"/>
          <w:sz w:val="18"/>
          <w:szCs w:val="18"/>
        </w:rPr>
        <w:t xml:space="preserve"> +----+----+          +----+----+          +----+----+</w:t>
      </w:r>
    </w:p>
    <w:p>
      <w:pPr>
        <w:shd w:fill="F4F6F9" w:val="clear"/>
        <w:spacing w:after="160" w:line="240"/>
        <w:ind w:left="170" w:right="170"/>
      </w:pPr>
      <w:r>
        <w:rPr>
          <w:rFonts w:ascii="Consolas" w:cs="Consolas" w:eastAsia="Consolas" w:hAnsi="Consolas"/>
          <w:color w:val="22303F"/>
          <w:sz w:val="18"/>
          <w:szCs w:val="18"/>
        </w:rPr>
        <w:t xml:space="preserve">sme-...  sme-...    sme-...  sme-...    sme-...  sme-...      tier 2  x80</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700"/>
        <w:gridCol w:w="4000"/>
        <w:gridCol w:w="3326"/>
      </w:tblGrid>
      <w:tr>
        <w:trPr>
          <w:tblHeader/>
        </w:trPr>
        <w:tc>
          <w:tcPr>
            <w:tcW w:type="dxa" w:w="1700"/>
            <w:shd w:fill="EDF1F6" w:val="clear"/>
            <w:tcMar>
              <w:top w:type="dxa" w:w="70"/>
              <w:left w:type="dxa" w:w="100"/>
              <w:bottom w:type="dxa" w:w="70"/>
              <w:right w:type="dxa" w:w="100"/>
            </w:tcMar>
          </w:tcPr>
          <w:p>
            <w:pPr>
              <w:spacing w:after="0" w:line="250"/>
            </w:pPr>
            <w:r>
              <w:rPr>
                <w:b/>
                <w:bCs/>
                <w:color w:val="22303F"/>
                <w:sz w:val="18"/>
                <w:szCs w:val="18"/>
              </w:rPr>
              <w:t xml:space="preserve">Tier</w:t>
            </w:r>
          </w:p>
        </w:tc>
        <w:tc>
          <w:tcPr>
            <w:tcW w:type="dxa" w:w="4000"/>
            <w:shd w:fill="EDF1F6" w:val="clear"/>
            <w:tcMar>
              <w:top w:type="dxa" w:w="70"/>
              <w:left w:type="dxa" w:w="100"/>
              <w:bottom w:type="dxa" w:w="70"/>
              <w:right w:type="dxa" w:w="100"/>
            </w:tcMar>
          </w:tcPr>
          <w:p>
            <w:pPr>
              <w:spacing w:after="0" w:line="250"/>
            </w:pPr>
            <w:r>
              <w:rPr>
                <w:b/>
                <w:bCs/>
                <w:color w:val="22303F"/>
                <w:sz w:val="18"/>
                <w:szCs w:val="18"/>
              </w:rPr>
              <w:t xml:space="preserve">Does</w:t>
            </w:r>
          </w:p>
        </w:tc>
        <w:tc>
          <w:tcPr>
            <w:tcW w:type="dxa" w:w="3326"/>
            <w:shd w:fill="EDF1F6" w:val="clear"/>
            <w:tcMar>
              <w:top w:type="dxa" w:w="70"/>
              <w:left w:type="dxa" w:w="100"/>
              <w:bottom w:type="dxa" w:w="70"/>
              <w:right w:type="dxa" w:w="100"/>
            </w:tcMar>
          </w:tcPr>
          <w:p>
            <w:pPr>
              <w:spacing w:after="0" w:line="250"/>
            </w:pPr>
            <w:r>
              <w:rPr>
                <w:b/>
                <w:bCs/>
                <w:color w:val="22303F"/>
                <w:sz w:val="18"/>
                <w:szCs w:val="18"/>
              </w:rPr>
              <w:t xml:space="preserve">Never does</w:t>
            </w:r>
          </w:p>
        </w:tc>
      </w:tr>
      <w:tr>
        <w:tc>
          <w:tcPr>
            <w:tcW w:type="dxa" w:w="1700"/>
            <w:tcMar>
              <w:top w:type="dxa" w:w="70"/>
              <w:left w:type="dxa" w:w="100"/>
              <w:bottom w:type="dxa" w:w="70"/>
              <w:right w:type="dxa" w:w="100"/>
            </w:tcMar>
          </w:tcPr>
          <w:p>
            <w:pPr>
              <w:spacing w:after="0" w:line="250"/>
            </w:pPr>
            <w:r>
              <w:rPr>
                <w:color w:val="1A1A1A"/>
                <w:sz w:val="19"/>
                <w:szCs w:val="19"/>
              </w:rPr>
              <w:t xml:space="preserve">Master Architect</w:t>
            </w:r>
          </w:p>
        </w:tc>
        <w:tc>
          <w:tcPr>
            <w:tcW w:type="dxa" w:w="4000"/>
            <w:tcMar>
              <w:top w:type="dxa" w:w="70"/>
              <w:left w:type="dxa" w:w="100"/>
              <w:bottom w:type="dxa" w:w="70"/>
              <w:right w:type="dxa" w:w="100"/>
            </w:tcMar>
          </w:tcPr>
          <w:p>
            <w:pPr>
              <w:spacing w:after="0" w:line="250"/>
            </w:pPr>
            <w:r>
              <w:rPr>
                <w:color w:val="1A1A1A"/>
                <w:sz w:val="19"/>
                <w:szCs w:val="19"/>
              </w:rPr>
              <w:t xml:space="preserve">Evaluates the Domain Architects' output. Reconciles across domains. Grades the whole.</w:t>
            </w:r>
          </w:p>
        </w:tc>
        <w:tc>
          <w:tcPr>
            <w:tcW w:type="dxa" w:w="3326"/>
            <w:tcMar>
              <w:top w:type="dxa" w:w="70"/>
              <w:left w:type="dxa" w:w="100"/>
              <w:bottom w:type="dxa" w:w="70"/>
              <w:right w:type="dxa" w:w="100"/>
            </w:tcMar>
          </w:tcPr>
          <w:p>
            <w:pPr>
              <w:spacing w:after="0" w:line="250"/>
            </w:pPr>
            <w:r>
              <w:rPr>
                <w:color w:val="1A1A1A"/>
                <w:sz w:val="19"/>
                <w:szCs w:val="19"/>
              </w:rPr>
              <w:t xml:space="preserve">Domain work. An architect who does SME work stops being able to evaluate it.</w:t>
            </w:r>
          </w:p>
        </w:tc>
      </w:tr>
      <w:tr>
        <w:tc>
          <w:tcPr>
            <w:tcW w:type="dxa" w:w="1700"/>
            <w:tcMar>
              <w:top w:type="dxa" w:w="70"/>
              <w:left w:type="dxa" w:w="100"/>
              <w:bottom w:type="dxa" w:w="70"/>
              <w:right w:type="dxa" w:w="100"/>
            </w:tcMar>
          </w:tcPr>
          <w:p>
            <w:pPr>
              <w:spacing w:after="0" w:line="250"/>
            </w:pPr>
            <w:r>
              <w:rPr>
                <w:color w:val="1A1A1A"/>
                <w:sz w:val="19"/>
                <w:szCs w:val="19"/>
              </w:rPr>
              <w:t xml:space="preserve">Domain Architect ×13</w:t>
            </w:r>
          </w:p>
        </w:tc>
        <w:tc>
          <w:tcPr>
            <w:tcW w:type="dxa" w:w="4000"/>
            <w:tcMar>
              <w:top w:type="dxa" w:w="70"/>
              <w:left w:type="dxa" w:w="100"/>
              <w:bottom w:type="dxa" w:w="70"/>
              <w:right w:type="dxa" w:w="100"/>
            </w:tcMar>
          </w:tcPr>
          <w:p>
            <w:pPr>
              <w:spacing w:after="0" w:line="250"/>
            </w:pPr>
            <w:r>
              <w:rPr>
                <w:color w:val="1A1A1A"/>
                <w:sz w:val="19"/>
                <w:szCs w:val="19"/>
              </w:rPr>
              <w:t xml:space="preserve">Fans out to its own SMEs in isolation. Compiles, validates for interoperability, sense-checks what was not said.</w:t>
            </w:r>
          </w:p>
        </w:tc>
        <w:tc>
          <w:tcPr>
            <w:tcW w:type="dxa" w:w="3326"/>
            <w:tcMar>
              <w:top w:type="dxa" w:w="70"/>
              <w:left w:type="dxa" w:w="100"/>
              <w:bottom w:type="dxa" w:w="70"/>
              <w:right w:type="dxa" w:w="100"/>
            </w:tcMar>
          </w:tcPr>
          <w:p>
            <w:pPr>
              <w:spacing w:after="0" w:line="250"/>
            </w:pPr>
            <w:r>
              <w:rPr>
                <w:color w:val="1A1A1A"/>
                <w:sz w:val="19"/>
                <w:szCs w:val="19"/>
              </w:rPr>
              <w:t xml:space="preserve">Assume another domain's position. It states a dependency and escalates.</w:t>
            </w:r>
          </w:p>
        </w:tc>
      </w:tr>
      <w:tr>
        <w:tc>
          <w:tcPr>
            <w:tcW w:type="dxa" w:w="1700"/>
            <w:tcMar>
              <w:top w:type="dxa" w:w="70"/>
              <w:left w:type="dxa" w:w="100"/>
              <w:bottom w:type="dxa" w:w="70"/>
              <w:right w:type="dxa" w:w="100"/>
            </w:tcMar>
          </w:tcPr>
          <w:p>
            <w:pPr>
              <w:spacing w:after="0" w:line="250"/>
            </w:pPr>
            <w:r>
              <w:rPr>
                <w:color w:val="1A1A1A"/>
                <w:sz w:val="19"/>
                <w:szCs w:val="19"/>
              </w:rPr>
              <w:t xml:space="preserve">Capability SME ×80</w:t>
            </w:r>
          </w:p>
        </w:tc>
        <w:tc>
          <w:tcPr>
            <w:tcW w:type="dxa" w:w="4000"/>
            <w:tcMar>
              <w:top w:type="dxa" w:w="70"/>
              <w:left w:type="dxa" w:w="100"/>
              <w:bottom w:type="dxa" w:w="70"/>
              <w:right w:type="dxa" w:w="100"/>
            </w:tcMar>
          </w:tcPr>
          <w:p>
            <w:pPr>
              <w:spacing w:after="0" w:line="250"/>
            </w:pPr>
            <w:r>
              <w:rPr>
                <w:color w:val="1A1A1A"/>
                <w:sz w:val="19"/>
                <w:szCs w:val="19"/>
              </w:rPr>
              <w:t xml:space="preserve">Depth in one capability. Returns a position, the assumptions it refused, and questions with owners.</w:t>
            </w:r>
          </w:p>
        </w:tc>
        <w:tc>
          <w:tcPr>
            <w:tcW w:type="dxa" w:w="3326"/>
            <w:tcMar>
              <w:top w:type="dxa" w:w="70"/>
              <w:left w:type="dxa" w:w="100"/>
              <w:bottom w:type="dxa" w:w="70"/>
              <w:right w:type="dxa" w:w="100"/>
            </w:tcMar>
          </w:tcPr>
          <w:p>
            <w:pPr>
              <w:spacing w:after="0" w:line="250"/>
            </w:pPr>
            <w:r>
              <w:rPr>
                <w:color w:val="1A1A1A"/>
                <w:sz w:val="19"/>
                <w:szCs w:val="19"/>
              </w:rPr>
              <w:t xml:space="preserve">Speculate outside its capability, or contact a peer directly.</w:t>
            </w:r>
          </w:p>
        </w:tc>
      </w:tr>
    </w:tbl>
    <w:p>
      <w:pPr>
        <w:pStyle w:val="Heading2"/>
        <w:spacing w:after="120" w:before="280"/>
      </w:pPr>
      <w:r>
        <w:rPr>
          <w:b/>
          <w:bCs/>
          <w:color w:val="1F4E79"/>
          <w:sz w:val="24"/>
          <w:szCs w:val="24"/>
        </w:rPr>
        <w:t xml:space="preserve">3.3 The rule that does the most work</w:t>
      </w:r>
    </w:p>
    <w:p>
      <w:pPr>
        <w:spacing w:after="140" w:line="276"/>
      </w:pPr>
      <w:r>
        <w:rPr>
          <w:color w:val="1A1A1A"/>
          <w:sz w:val="21"/>
          <w:szCs w:val="21"/>
        </w:rPr>
        <w:t xml:space="preserve">Every SME carries an explicit list of things that look settled and are not — 321 of them across the team. Where one applies and the answer was not given, it becomes a question with a named owner. Never a placeholder, never a plausible guess.</w:t>
      </w:r>
    </w:p>
    <w:p>
      <w:pPr>
        <w:spacing w:after="140" w:line="276"/>
      </w:pPr>
      <w:r>
        <w:rPr>
          <w:i/>
          <w:iCs/>
          <w:color w:val="5B6572"/>
          <w:sz w:val="21"/>
          <w:szCs w:val="21"/>
        </w:rPr>
        <w:t xml:space="preserve">Examples, verbatim from the agents:</w:t>
      </w:r>
    </w:p>
    <w:p>
      <w:pPr>
        <w:pStyle w:val="ListParagraph"/>
        <w:numPr>
          <w:ilvl w:val="0"/>
          <w:numId w:val="2"/>
        </w:numPr>
        <w:spacing w:after="80" w:line="276"/>
      </w:pPr>
      <w:r>
        <w:rPr>
          <w:color w:val="1A1A1A"/>
          <w:sz w:val="21"/>
          <w:szCs w:val="21"/>
        </w:rPr>
        <w:t xml:space="preserve">Penetration testing: "That an untested component is secure. A clean report covers what was in scope during the window and nothing else."</w:t>
      </w:r>
    </w:p>
    <w:p>
      <w:pPr>
        <w:pStyle w:val="ListParagraph"/>
        <w:numPr>
          <w:ilvl w:val="0"/>
          <w:numId w:val="2"/>
        </w:numPr>
        <w:spacing w:after="80" w:line="276"/>
      </w:pPr>
      <w:r>
        <w:rPr>
          <w:color w:val="1A1A1A"/>
          <w:sz w:val="21"/>
          <w:szCs w:val="21"/>
        </w:rPr>
        <w:t xml:space="preserve">Data residency: "That the failover path stays in boundary. Disaster recovery is the most common way a residency position is breached, during an event nobody rehearsed against it."</w:t>
      </w:r>
    </w:p>
    <w:p>
      <w:pPr>
        <w:pStyle w:val="ListParagraph"/>
        <w:numPr>
          <w:ilvl w:val="0"/>
          <w:numId w:val="2"/>
        </w:numPr>
        <w:spacing w:after="80" w:line="276"/>
      </w:pPr>
      <w:r>
        <w:rPr>
          <w:color w:val="1A1A1A"/>
          <w:sz w:val="21"/>
          <w:szCs w:val="21"/>
        </w:rPr>
        <w:t xml:space="preserve">Cloud entitlements: "That deny beats allow. Evaluation logic differs by provider, and a broad grant elsewhere in the hierarchy can win."</w:t>
      </w:r>
    </w:p>
    <w:p>
      <w:pPr>
        <w:pStyle w:val="ListParagraph"/>
        <w:numPr>
          <w:ilvl w:val="0"/>
          <w:numId w:val="2"/>
        </w:numPr>
        <w:spacing w:after="80" w:line="276"/>
      </w:pPr>
      <w:r>
        <w:rPr>
          <w:color w:val="1A1A1A"/>
          <w:sz w:val="21"/>
          <w:szCs w:val="21"/>
        </w:rPr>
        <w:t xml:space="preserve">Identity governance: "That an entitlement review that completed was a review. Ask what proportion of entitlements were revoked — a near-zero revocation rate means rubber-stamping."</w:t>
      </w:r>
    </w:p>
    <w:p>
      <w:r>
        <w:br w:type="page"/>
      </w:r>
    </w:p>
    <w:p>
      <w:pPr>
        <w:pStyle w:val="Heading1"/>
        <w:spacing w:after="160" w:before="360"/>
      </w:pPr>
      <w:r>
        <w:rPr>
          <w:b/>
          <w:bCs/>
          <w:color w:val="1F4E79"/>
          <w:sz w:val="30"/>
          <w:szCs w:val="30"/>
        </w:rPr>
        <w:t xml:space="preserve">4. What an assessment produces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800"/>
        <w:gridCol w:w="2400"/>
        <w:gridCol w:w="4826"/>
      </w:tblGrid>
      <w:tr>
        <w:trPr>
          <w:tblHeader/>
        </w:trPr>
        <w:tc>
          <w:tcPr>
            <w:tcW w:type="dxa" w:w="1800"/>
            <w:shd w:fill="EDF1F6" w:val="clear"/>
            <w:tcMar>
              <w:top w:type="dxa" w:w="70"/>
              <w:left w:type="dxa" w:w="100"/>
              <w:bottom w:type="dxa" w:w="70"/>
              <w:right w:type="dxa" w:w="100"/>
            </w:tcMar>
          </w:tcPr>
          <w:p>
            <w:pPr>
              <w:spacing w:after="0" w:line="250"/>
            </w:pPr>
            <w:r>
              <w:rPr>
                <w:b/>
                <w:bCs/>
                <w:color w:val="22303F"/>
                <w:sz w:val="18"/>
                <w:szCs w:val="18"/>
              </w:rPr>
              <w:t xml:space="preserve">Artefact</w:t>
            </w:r>
          </w:p>
        </w:tc>
        <w:tc>
          <w:tcPr>
            <w:tcW w:type="dxa" w:w="2400"/>
            <w:shd w:fill="EDF1F6" w:val="clear"/>
            <w:tcMar>
              <w:top w:type="dxa" w:w="70"/>
              <w:left w:type="dxa" w:w="100"/>
              <w:bottom w:type="dxa" w:w="70"/>
              <w:right w:type="dxa" w:w="100"/>
            </w:tcMar>
          </w:tcPr>
          <w:p>
            <w:pPr>
              <w:spacing w:after="0" w:line="250"/>
            </w:pPr>
            <w:r>
              <w:rPr>
                <w:b/>
                <w:bCs/>
                <w:color w:val="22303F"/>
                <w:sz w:val="18"/>
                <w:szCs w:val="18"/>
              </w:rPr>
              <w:t xml:space="preserve">For whom</w:t>
            </w:r>
          </w:p>
        </w:tc>
        <w:tc>
          <w:tcPr>
            <w:tcW w:type="dxa" w:w="4826"/>
            <w:shd w:fill="EDF1F6" w:val="clear"/>
            <w:tcMar>
              <w:top w:type="dxa" w:w="70"/>
              <w:left w:type="dxa" w:w="100"/>
              <w:bottom w:type="dxa" w:w="70"/>
              <w:right w:type="dxa" w:w="100"/>
            </w:tcMar>
          </w:tcPr>
          <w:p>
            <w:pPr>
              <w:spacing w:after="0" w:line="250"/>
            </w:pPr>
            <w:r>
              <w:rPr>
                <w:b/>
                <w:bCs/>
                <w:color w:val="22303F"/>
                <w:sz w:val="18"/>
                <w:szCs w:val="18"/>
              </w:rPr>
              <w:t xml:space="preserve">Contains</w:t>
            </w:r>
          </w:p>
        </w:tc>
      </w:tr>
      <w:tr>
        <w:tc>
          <w:tcPr>
            <w:tcW w:type="dxa" w:w="1800"/>
            <w:tcMar>
              <w:top w:type="dxa" w:w="70"/>
              <w:left w:type="dxa" w:w="100"/>
              <w:bottom w:type="dxa" w:w="70"/>
              <w:right w:type="dxa" w:w="100"/>
            </w:tcMar>
          </w:tcPr>
          <w:p>
            <w:pPr>
              <w:spacing w:after="0" w:line="250"/>
            </w:pPr>
            <w:r>
              <w:rPr>
                <w:color w:val="1A1A1A"/>
                <w:sz w:val="19"/>
                <w:szCs w:val="19"/>
              </w:rPr>
              <w:t xml:space="preserve">Low-level design ×9</w:t>
            </w:r>
          </w:p>
        </w:tc>
        <w:tc>
          <w:tcPr>
            <w:tcW w:type="dxa" w:w="2400"/>
            <w:tcMar>
              <w:top w:type="dxa" w:w="70"/>
              <w:left w:type="dxa" w:w="100"/>
              <w:bottom w:type="dxa" w:w="70"/>
              <w:right w:type="dxa" w:w="100"/>
            </w:tcMar>
          </w:tcPr>
          <w:p>
            <w:pPr>
              <w:spacing w:after="0" w:line="250"/>
            </w:pPr>
            <w:r>
              <w:rPr>
                <w:color w:val="1A1A1A"/>
                <w:sz w:val="19"/>
                <w:szCs w:val="19"/>
              </w:rPr>
              <w:t xml:space="preserve">The engineer building it, the assessor testing it</w:t>
            </w:r>
          </w:p>
        </w:tc>
        <w:tc>
          <w:tcPr>
            <w:tcW w:type="dxa" w:w="4826"/>
            <w:tcMar>
              <w:top w:type="dxa" w:w="70"/>
              <w:left w:type="dxa" w:w="100"/>
              <w:bottom w:type="dxa" w:w="70"/>
              <w:right w:type="dxa" w:w="100"/>
            </w:tcMar>
          </w:tcPr>
          <w:p>
            <w:pPr>
              <w:spacing w:after="0" w:line="250"/>
            </w:pPr>
            <w:r>
              <w:rPr>
                <w:color w:val="1A1A1A"/>
                <w:sz w:val="19"/>
                <w:szCs w:val="19"/>
              </w:rPr>
              <w:t xml:space="preserve">Checklist evaluated across Prod, RTL and Dev-Test separately. Open questions with owners. Volumetric anchors per environment. Cross-domain hooks. Risks. Control mapping.</w:t>
            </w:r>
          </w:p>
        </w:tc>
      </w:tr>
      <w:tr>
        <w:tc>
          <w:tcPr>
            <w:tcW w:type="dxa" w:w="1800"/>
            <w:tcMar>
              <w:top w:type="dxa" w:w="70"/>
              <w:left w:type="dxa" w:w="100"/>
              <w:bottom w:type="dxa" w:w="70"/>
              <w:right w:type="dxa" w:w="100"/>
            </w:tcMar>
          </w:tcPr>
          <w:p>
            <w:pPr>
              <w:spacing w:after="0" w:line="250"/>
            </w:pPr>
            <w:r>
              <w:rPr>
                <w:color w:val="1A1A1A"/>
                <w:sz w:val="19"/>
                <w:szCs w:val="19"/>
              </w:rPr>
              <w:t xml:space="preserve">High-level design</w:t>
            </w:r>
          </w:p>
        </w:tc>
        <w:tc>
          <w:tcPr>
            <w:tcW w:type="dxa" w:w="2400"/>
            <w:tcMar>
              <w:top w:type="dxa" w:w="70"/>
              <w:left w:type="dxa" w:w="100"/>
              <w:bottom w:type="dxa" w:w="70"/>
              <w:right w:type="dxa" w:w="100"/>
            </w:tcMar>
          </w:tcPr>
          <w:p>
            <w:pPr>
              <w:spacing w:after="0" w:line="250"/>
            </w:pPr>
            <w:r>
              <w:rPr>
                <w:color w:val="1A1A1A"/>
                <w:sz w:val="19"/>
                <w:szCs w:val="19"/>
              </w:rPr>
              <w:t xml:space="preserve">The architecture forum</w:t>
            </w:r>
          </w:p>
        </w:tc>
        <w:tc>
          <w:tcPr>
            <w:tcW w:type="dxa" w:w="4826"/>
            <w:tcMar>
              <w:top w:type="dxa" w:w="70"/>
              <w:left w:type="dxa" w:w="100"/>
              <w:bottom w:type="dxa" w:w="70"/>
              <w:right w:type="dxa" w:w="100"/>
            </w:tcMar>
          </w:tcPr>
          <w:p>
            <w:pPr>
              <w:spacing w:after="0" w:line="250"/>
            </w:pPr>
            <w:r>
              <w:rPr>
                <w:color w:val="1A1A1A"/>
                <w:sz w:val="19"/>
                <w:szCs w:val="19"/>
              </w:rPr>
              <w:t xml:space="preserve">Scope boundaries, a generated end-to-end flow, connectivity and trust boundaries, per-domain summaries, the reconciliation matrix, delivery shape.</w:t>
            </w:r>
          </w:p>
        </w:tc>
      </w:tr>
      <w:tr>
        <w:tc>
          <w:tcPr>
            <w:tcW w:type="dxa" w:w="1800"/>
            <w:tcMar>
              <w:top w:type="dxa" w:w="70"/>
              <w:left w:type="dxa" w:w="100"/>
              <w:bottom w:type="dxa" w:w="70"/>
              <w:right w:type="dxa" w:w="100"/>
            </w:tcMar>
          </w:tcPr>
          <w:p>
            <w:pPr>
              <w:spacing w:after="0" w:line="250"/>
            </w:pPr>
            <w:r>
              <w:rPr>
                <w:color w:val="1A1A1A"/>
                <w:sz w:val="19"/>
                <w:szCs w:val="19"/>
              </w:rPr>
              <w:t xml:space="preserve">Executive pack</w:t>
            </w:r>
          </w:p>
        </w:tc>
        <w:tc>
          <w:tcPr>
            <w:tcW w:type="dxa" w:w="2400"/>
            <w:tcMar>
              <w:top w:type="dxa" w:w="70"/>
              <w:left w:type="dxa" w:w="100"/>
              <w:bottom w:type="dxa" w:w="70"/>
              <w:right w:type="dxa" w:w="100"/>
            </w:tcMar>
          </w:tcPr>
          <w:p>
            <w:pPr>
              <w:spacing w:after="0" w:line="250"/>
            </w:pPr>
            <w:r>
              <w:rPr>
                <w:color w:val="1A1A1A"/>
                <w:sz w:val="19"/>
                <w:szCs w:val="19"/>
              </w:rPr>
              <w:t xml:space="preserve">The reader who will not open the HLD</w:t>
            </w:r>
          </w:p>
        </w:tc>
        <w:tc>
          <w:tcPr>
            <w:tcW w:type="dxa" w:w="4826"/>
            <w:tcMar>
              <w:top w:type="dxa" w:w="70"/>
              <w:left w:type="dxa" w:w="100"/>
              <w:bottom w:type="dxa" w:w="70"/>
              <w:right w:type="dxa" w:w="100"/>
            </w:tcMar>
          </w:tcPr>
          <w:p>
            <w:pPr>
              <w:spacing w:after="0" w:line="250"/>
            </w:pPr>
            <w:r>
              <w:rPr>
                <w:color w:val="1A1A1A"/>
                <w:sz w:val="19"/>
                <w:szCs w:val="19"/>
              </w:rPr>
              <w:t xml:space="preserve">What it delivers and why, where the effort sits, a banded roadmap, and risks grouped by the problem they create — timeline, workarounds, legal and regulatory, and security exposures filtered up out of the nine designs.</w:t>
            </w:r>
          </w:p>
        </w:tc>
      </w:tr>
      <w:tr>
        <w:tc>
          <w:tcPr>
            <w:tcW w:type="dxa" w:w="1800"/>
            <w:tcMar>
              <w:top w:type="dxa" w:w="70"/>
              <w:left w:type="dxa" w:w="100"/>
              <w:bottom w:type="dxa" w:w="70"/>
              <w:right w:type="dxa" w:w="100"/>
            </w:tcMar>
          </w:tcPr>
          <w:p>
            <w:pPr>
              <w:spacing w:after="0" w:line="250"/>
            </w:pPr>
            <w:r>
              <w:rPr>
                <w:color w:val="1A1A1A"/>
                <w:sz w:val="19"/>
                <w:szCs w:val="19"/>
              </w:rPr>
              <w:t xml:space="preserve">Decision ledger</w:t>
            </w:r>
          </w:p>
        </w:tc>
        <w:tc>
          <w:tcPr>
            <w:tcW w:type="dxa" w:w="2400"/>
            <w:tcMar>
              <w:top w:type="dxa" w:w="70"/>
              <w:left w:type="dxa" w:w="100"/>
              <w:bottom w:type="dxa" w:w="70"/>
              <w:right w:type="dxa" w:w="100"/>
            </w:tcMar>
          </w:tcPr>
          <w:p>
            <w:pPr>
              <w:spacing w:after="0" w:line="250"/>
            </w:pPr>
            <w:r>
              <w:rPr>
                <w:color w:val="1A1A1A"/>
                <w:sz w:val="19"/>
                <w:szCs w:val="19"/>
              </w:rPr>
              <w:t xml:space="preserve">Anyone challenging a position later</w:t>
            </w:r>
          </w:p>
        </w:tc>
        <w:tc>
          <w:tcPr>
            <w:tcW w:type="dxa" w:w="4826"/>
            <w:tcMar>
              <w:top w:type="dxa" w:w="70"/>
              <w:left w:type="dxa" w:w="100"/>
              <w:bottom w:type="dxa" w:w="70"/>
              <w:right w:type="dxa" w:w="100"/>
            </w:tcMar>
          </w:tcPr>
          <w:p>
            <w:pPr>
              <w:spacing w:after="0" w:line="250"/>
            </w:pPr>
            <w:r>
              <w:rPr>
                <w:color w:val="1A1A1A"/>
                <w:sz w:val="19"/>
                <w:szCs w:val="19"/>
              </w:rPr>
              <w:t xml:space="preserve">Every position, its rationale, the alternatives considered, the owner, and whether the orchestrator overruled the domain.</w:t>
            </w:r>
          </w:p>
        </w:tc>
      </w:tr>
      <w:tr>
        <w:tc>
          <w:tcPr>
            <w:tcW w:type="dxa" w:w="1800"/>
            <w:tcMar>
              <w:top w:type="dxa" w:w="70"/>
              <w:left w:type="dxa" w:w="100"/>
              <w:bottom w:type="dxa" w:w="70"/>
              <w:right w:type="dxa" w:w="100"/>
            </w:tcMar>
          </w:tcPr>
          <w:p>
            <w:pPr>
              <w:spacing w:after="0" w:line="250"/>
            </w:pPr>
            <w:r>
              <w:rPr>
                <w:color w:val="1A1A1A"/>
                <w:sz w:val="19"/>
                <w:szCs w:val="19"/>
              </w:rPr>
              <w:t xml:space="preserve">Evidence ledger</w:t>
            </w:r>
          </w:p>
        </w:tc>
        <w:tc>
          <w:tcPr>
            <w:tcW w:type="dxa" w:w="2400"/>
            <w:tcMar>
              <w:top w:type="dxa" w:w="70"/>
              <w:left w:type="dxa" w:w="100"/>
              <w:bottom w:type="dxa" w:w="70"/>
              <w:right w:type="dxa" w:w="100"/>
            </w:tcMar>
          </w:tcPr>
          <w:p>
            <w:pPr>
              <w:spacing w:after="0" w:line="250"/>
            </w:pPr>
            <w:r>
              <w:rPr>
                <w:color w:val="1A1A1A"/>
                <w:sz w:val="19"/>
                <w:szCs w:val="19"/>
              </w:rPr>
              <w:t xml:space="preserve">Audit and model-risk challenge</w:t>
            </w:r>
          </w:p>
        </w:tc>
        <w:tc>
          <w:tcPr>
            <w:tcW w:type="dxa" w:w="4826"/>
            <w:tcMar>
              <w:top w:type="dxa" w:w="70"/>
              <w:left w:type="dxa" w:w="100"/>
              <w:bottom w:type="dxa" w:w="70"/>
              <w:right w:type="dxa" w:w="100"/>
            </w:tcMar>
          </w:tcPr>
          <w:p>
            <w:pPr>
              <w:spacing w:after="0" w:line="250"/>
            </w:pPr>
            <w:r>
              <w:rPr>
                <w:color w:val="1A1A1A"/>
                <w:sz w:val="19"/>
                <w:szCs w:val="19"/>
              </w:rPr>
              <w:t xml:space="preserve">What was checked, by what method, what came back, when — including the decomposition of every score to its inputs and weights.</w:t>
            </w:r>
          </w:p>
        </w:tc>
      </w:tr>
      <w:tr>
        <w:tc>
          <w:tcPr>
            <w:tcW w:type="dxa" w:w="1800"/>
            <w:tcMar>
              <w:top w:type="dxa" w:w="70"/>
              <w:left w:type="dxa" w:w="100"/>
              <w:bottom w:type="dxa" w:w="70"/>
              <w:right w:type="dxa" w:w="100"/>
            </w:tcMar>
          </w:tcPr>
          <w:p>
            <w:pPr>
              <w:spacing w:after="0" w:line="250"/>
            </w:pPr>
            <w:r>
              <w:rPr>
                <w:color w:val="1A1A1A"/>
                <w:sz w:val="19"/>
                <w:szCs w:val="19"/>
              </w:rPr>
              <w:t xml:space="preserve">Dashboard</w:t>
            </w:r>
          </w:p>
        </w:tc>
        <w:tc>
          <w:tcPr>
            <w:tcW w:type="dxa" w:w="2400"/>
            <w:tcMar>
              <w:top w:type="dxa" w:w="70"/>
              <w:left w:type="dxa" w:w="100"/>
              <w:bottom w:type="dxa" w:w="70"/>
              <w:right w:type="dxa" w:w="100"/>
            </w:tcMar>
          </w:tcPr>
          <w:p>
            <w:pPr>
              <w:spacing w:after="0" w:line="250"/>
            </w:pPr>
            <w:r>
              <w:rPr>
                <w:color w:val="1A1A1A"/>
                <w:sz w:val="19"/>
                <w:szCs w:val="19"/>
              </w:rPr>
              <w:t xml:space="preserve">Circulation</w:t>
            </w:r>
          </w:p>
        </w:tc>
        <w:tc>
          <w:tcPr>
            <w:tcW w:type="dxa" w:w="4826"/>
            <w:tcMar>
              <w:top w:type="dxa" w:w="70"/>
              <w:left w:type="dxa" w:w="100"/>
              <w:bottom w:type="dxa" w:w="70"/>
              <w:right w:type="dxa" w:w="100"/>
            </w:tcMar>
          </w:tcPr>
          <w:p>
            <w:pPr>
              <w:spacing w:after="0" w:line="250"/>
            </w:pPr>
            <w:r>
              <w:rPr>
                <w:color w:val="1A1A1A"/>
                <w:sz w:val="19"/>
                <w:szCs w:val="19"/>
              </w:rPr>
              <w:t xml:space="preserve">All of the above in one self-contained HTML file. No network requests.</w:t>
            </w:r>
          </w:p>
        </w:tc>
      </w:tr>
    </w:tbl>
    <w:p>
      <w:pPr>
        <w:pStyle w:val="Heading2"/>
        <w:spacing w:after="120" w:before="280"/>
      </w:pPr>
      <w:r>
        <w:rPr>
          <w:b/>
          <w:bCs/>
          <w:color w:val="1F4E79"/>
          <w:sz w:val="24"/>
          <w:szCs w:val="24"/>
        </w:rPr>
        <w:t xml:space="preserve">4.1 The verdict</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200"/>
        <w:gridCol w:w="6826"/>
      </w:tblGrid>
      <w:tr>
        <w:trPr>
          <w:tblHeader/>
        </w:trPr>
        <w:tc>
          <w:tcPr>
            <w:tcW w:type="dxa" w:w="2200"/>
            <w:shd w:fill="EDF1F6" w:val="clear"/>
            <w:tcMar>
              <w:top w:type="dxa" w:w="70"/>
              <w:left w:type="dxa" w:w="100"/>
              <w:bottom w:type="dxa" w:w="70"/>
              <w:right w:type="dxa" w:w="100"/>
            </w:tcMar>
          </w:tcPr>
          <w:p>
            <w:pPr>
              <w:spacing w:after="0" w:line="250"/>
            </w:pPr>
            <w:r>
              <w:rPr>
                <w:b/>
                <w:bCs/>
                <w:color w:val="22303F"/>
                <w:sz w:val="18"/>
                <w:szCs w:val="18"/>
              </w:rPr>
              <w:t xml:space="preserve">Grade</w:t>
            </w:r>
          </w:p>
        </w:tc>
        <w:tc>
          <w:tcPr>
            <w:tcW w:type="dxa" w:w="6826"/>
            <w:shd w:fill="EDF1F6" w:val="clear"/>
            <w:tcMar>
              <w:top w:type="dxa" w:w="70"/>
              <w:left w:type="dxa" w:w="100"/>
              <w:bottom w:type="dxa" w:w="70"/>
              <w:right w:type="dxa" w:w="100"/>
            </w:tcMar>
          </w:tcPr>
          <w:p>
            <w:pPr>
              <w:spacing w:after="0" w:line="250"/>
            </w:pPr>
            <w:r>
              <w:rPr>
                <w:b/>
                <w:bCs/>
                <w:color w:val="22303F"/>
                <w:sz w:val="18"/>
                <w:szCs w:val="18"/>
              </w:rPr>
              <w:t xml:space="preserve">Means</w:t>
            </w:r>
          </w:p>
        </w:tc>
      </w:tr>
      <w:tr>
        <w:tc>
          <w:tcPr>
            <w:tcW w:type="dxa" w:w="2200"/>
            <w:tcMar>
              <w:top w:type="dxa" w:w="70"/>
              <w:left w:type="dxa" w:w="100"/>
              <w:bottom w:type="dxa" w:w="70"/>
              <w:right w:type="dxa" w:w="100"/>
            </w:tcMar>
          </w:tcPr>
          <w:p>
            <w:pPr>
              <w:spacing w:after="0" w:line="250"/>
            </w:pPr>
            <w:r>
              <w:rPr>
                <w:color w:val="1A1A1A"/>
                <w:sz w:val="19"/>
                <w:szCs w:val="19"/>
              </w:rPr>
              <w:t xml:space="preserve">Stable</w:t>
            </w:r>
          </w:p>
        </w:tc>
        <w:tc>
          <w:tcPr>
            <w:tcW w:type="dxa" w:w="6826"/>
            <w:tcMar>
              <w:top w:type="dxa" w:w="70"/>
              <w:left w:type="dxa" w:w="100"/>
              <w:bottom w:type="dxa" w:w="70"/>
              <w:right w:type="dxa" w:w="100"/>
            </w:tcMar>
          </w:tcPr>
          <w:p>
            <w:pPr>
              <w:spacing w:after="0" w:line="250"/>
            </w:pPr>
            <w:r>
              <w:rPr>
                <w:color w:val="1A1A1A"/>
                <w:sz w:val="19"/>
                <w:szCs w:val="19"/>
              </w:rPr>
              <w:t xml:space="preserve">No contradictions, no unpinned sizing-critical anchors, no blocking questions. Defensible as it stands.</w:t>
            </w:r>
          </w:p>
        </w:tc>
      </w:tr>
      <w:tr>
        <w:tc>
          <w:tcPr>
            <w:tcW w:type="dxa" w:w="2200"/>
            <w:tcMar>
              <w:top w:type="dxa" w:w="70"/>
              <w:left w:type="dxa" w:w="100"/>
              <w:bottom w:type="dxa" w:w="70"/>
              <w:right w:type="dxa" w:w="100"/>
            </w:tcMar>
          </w:tcPr>
          <w:p>
            <w:pPr>
              <w:spacing w:after="0" w:line="250"/>
            </w:pPr>
            <w:r>
              <w:rPr>
                <w:color w:val="1A1A1A"/>
                <w:sz w:val="19"/>
                <w:szCs w:val="19"/>
              </w:rPr>
              <w:t xml:space="preserve">Conditional</w:t>
            </w:r>
          </w:p>
        </w:tc>
        <w:tc>
          <w:tcPr>
            <w:tcW w:type="dxa" w:w="6826"/>
            <w:tcMar>
              <w:top w:type="dxa" w:w="70"/>
              <w:left w:type="dxa" w:w="100"/>
              <w:bottom w:type="dxa" w:w="70"/>
              <w:right w:type="dxa" w:w="100"/>
            </w:tcMar>
          </w:tcPr>
          <w:p>
            <w:pPr>
              <w:spacing w:after="0" w:line="250"/>
            </w:pPr>
            <w:r>
              <w:rPr>
                <w:color w:val="1A1A1A"/>
                <w:sz w:val="19"/>
                <w:szCs w:val="19"/>
              </w:rPr>
              <w:t xml:space="preserve">Coherent end to end, with named questions gating specific decisions.</w:t>
            </w:r>
          </w:p>
        </w:tc>
      </w:tr>
      <w:tr>
        <w:tc>
          <w:tcPr>
            <w:tcW w:type="dxa" w:w="2200"/>
            <w:tcMar>
              <w:top w:type="dxa" w:w="70"/>
              <w:left w:type="dxa" w:w="100"/>
              <w:bottom w:type="dxa" w:w="70"/>
              <w:right w:type="dxa" w:w="100"/>
            </w:tcMar>
          </w:tcPr>
          <w:p>
            <w:pPr>
              <w:spacing w:after="0" w:line="250"/>
            </w:pPr>
            <w:r>
              <w:rPr>
                <w:color w:val="1A1A1A"/>
                <w:sz w:val="19"/>
                <w:szCs w:val="19"/>
              </w:rPr>
              <w:t xml:space="preserve">Not yet a base plate</w:t>
            </w:r>
          </w:p>
        </w:tc>
        <w:tc>
          <w:tcPr>
            <w:tcW w:type="dxa" w:w="6826"/>
            <w:tcMar>
              <w:top w:type="dxa" w:w="70"/>
              <w:left w:type="dxa" w:w="100"/>
              <w:bottom w:type="dxa" w:w="70"/>
              <w:right w:type="dxa" w:w="100"/>
            </w:tcMar>
          </w:tcPr>
          <w:p>
            <w:pPr>
              <w:spacing w:after="0" w:line="250"/>
            </w:pPr>
            <w:r>
              <w:rPr>
                <w:color w:val="1A1A1A"/>
                <w:sz w:val="19"/>
                <w:szCs w:val="19"/>
              </w:rPr>
              <w:t xml:space="preserve">Contradictions remain, or numbers that drive sizing are unpinned.</w:t>
            </w:r>
          </w:p>
        </w:tc>
      </w:tr>
    </w:tbl>
    <w:p>
      <w:pPr>
        <w:pBdr>
          <w:left w:val="single" w:color="C8912B" w:sz="18"/>
        </w:pBdr>
        <w:shd w:fill="FBF7EC" w:val="clear"/>
        <w:spacing w:after="160" w:before="100" w:line="276"/>
        <w:ind w:left="170" w:right="170"/>
      </w:pPr>
      <w:r>
        <w:rPr>
          <w:color w:val="4A3A16"/>
          <w:sz w:val="20"/>
          <w:szCs w:val="20"/>
        </w:rPr>
        <w:t xml:space="preserve">A first run almost always grades Not yet, because nobody has pinned any numbers. That is the method working, not failing. The useful output of a first run is the list of numbers to chase and the questions to assign — and both are actionable the same day.</w:t>
      </w:r>
    </w:p>
    <w:p>
      <w:r>
        <w:br w:type="page"/>
      </w:r>
    </w:p>
    <w:p>
      <w:pPr>
        <w:pStyle w:val="Heading1"/>
        <w:spacing w:after="160" w:before="360"/>
      </w:pPr>
      <w:r>
        <w:rPr>
          <w:b/>
          <w:bCs/>
          <w:color w:val="1F4E79"/>
          <w:sz w:val="30"/>
          <w:szCs w:val="30"/>
        </w:rPr>
        <w:t xml:space="preserve">5. Does it work?</w:t>
      </w:r>
    </w:p>
    <w:p>
      <w:pPr>
        <w:spacing w:after="140" w:line="276"/>
      </w:pPr>
      <w:r>
        <w:rPr>
          <w:color w:val="1A1A1A"/>
          <w:sz w:val="21"/>
          <w:szCs w:val="21"/>
        </w:rPr>
        <w:t xml:space="preserve">Three briefs have been run end to end. The figures below are actual output, not illustration.</w:t>
      </w:r>
    </w:p>
    <w:p>
      <w:pPr>
        <w:pStyle w:val="Heading2"/>
        <w:spacing w:after="120" w:before="280"/>
      </w:pPr>
      <w:r>
        <w:rPr>
          <w:b/>
          <w:bCs/>
          <w:color w:val="1F4E79"/>
          <w:sz w:val="24"/>
          <w:szCs w:val="24"/>
        </w:rPr>
        <w:t xml:space="preserve">5.1 It does not over-engineer</w:t>
      </w:r>
    </w:p>
    <w:p>
      <w:pPr>
        <w:spacing w:after="140" w:line="276"/>
      </w:pPr>
      <w:r>
        <w:rPr>
          <w:color w:val="1A1A1A"/>
          <w:sz w:val="21"/>
          <w:szCs w:val="21"/>
        </w:rPr>
        <w:t xml:space="preserve">The most common objection to a method like this is that it will recommend the expensive answer regardless. It does not. Given a small internal tool with a tight budget it selected the cheapest available position in all nine domains, made no substitutions, and estimated 2.1 to 3.5 months.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600"/>
        <w:gridCol w:w="700"/>
        <w:gridCol w:w="3900"/>
        <w:gridCol w:w="1826"/>
      </w:tblGrid>
      <w:tr>
        <w:trPr>
          <w:tblHeader/>
        </w:trPr>
        <w:tc>
          <w:tcPr>
            <w:tcW w:type="dxa" w:w="2600"/>
            <w:shd w:fill="EDF1F6" w:val="clear"/>
            <w:tcMar>
              <w:top w:type="dxa" w:w="70"/>
              <w:left w:type="dxa" w:w="100"/>
              <w:bottom w:type="dxa" w:w="70"/>
              <w:right w:type="dxa" w:w="100"/>
            </w:tcMar>
          </w:tcPr>
          <w:p>
            <w:pPr>
              <w:spacing w:after="0" w:line="250"/>
            </w:pPr>
            <w:r>
              <w:rPr>
                <w:b/>
                <w:bCs/>
                <w:color w:val="22303F"/>
                <w:sz w:val="18"/>
                <w:szCs w:val="18"/>
              </w:rPr>
              <w:t xml:space="preserve">Brief</w:t>
            </w:r>
          </w:p>
        </w:tc>
        <w:tc>
          <w:tcPr>
            <w:tcW w:type="dxa" w:w="700"/>
            <w:shd w:fill="EDF1F6" w:val="clear"/>
            <w:tcMar>
              <w:top w:type="dxa" w:w="70"/>
              <w:left w:type="dxa" w:w="100"/>
              <w:bottom w:type="dxa" w:w="70"/>
              <w:right w:type="dxa" w:w="100"/>
            </w:tcMar>
          </w:tcPr>
          <w:p>
            <w:pPr>
              <w:spacing w:after="0" w:line="250"/>
            </w:pPr>
            <w:r>
              <w:rPr>
                <w:b/>
                <w:bCs/>
                <w:color w:val="22303F"/>
                <w:sz w:val="18"/>
                <w:szCs w:val="18"/>
              </w:rPr>
              <w:t xml:space="preserve">Tier</w:t>
            </w:r>
          </w:p>
        </w:tc>
        <w:tc>
          <w:tcPr>
            <w:tcW w:type="dxa" w:w="3900"/>
            <w:shd w:fill="EDF1F6" w:val="clear"/>
            <w:tcMar>
              <w:top w:type="dxa" w:w="70"/>
              <w:left w:type="dxa" w:w="100"/>
              <w:bottom w:type="dxa" w:w="70"/>
              <w:right w:type="dxa" w:w="100"/>
            </w:tcMar>
          </w:tcPr>
          <w:p>
            <w:pPr>
              <w:spacing w:after="0" w:line="250"/>
            </w:pPr>
            <w:r>
              <w:rPr>
                <w:b/>
                <w:bCs/>
                <w:color w:val="22303F"/>
                <w:sz w:val="18"/>
                <w:szCs w:val="18"/>
              </w:rPr>
              <w:t xml:space="preserve">Positions selected</w:t>
            </w:r>
          </w:p>
        </w:tc>
        <w:tc>
          <w:tcPr>
            <w:tcW w:type="dxa" w:w="1826"/>
            <w:shd w:fill="EDF1F6" w:val="clear"/>
            <w:tcMar>
              <w:top w:type="dxa" w:w="70"/>
              <w:left w:type="dxa" w:w="100"/>
              <w:bottom w:type="dxa" w:w="70"/>
              <w:right w:type="dxa" w:w="100"/>
            </w:tcMar>
          </w:tcPr>
          <w:p>
            <w:pPr>
              <w:spacing w:after="0" w:line="250"/>
            </w:pPr>
            <w:r>
              <w:rPr>
                <w:b/>
                <w:bCs/>
                <w:color w:val="22303F"/>
                <w:sz w:val="18"/>
                <w:szCs w:val="18"/>
              </w:rPr>
              <w:t xml:space="preserve">Estimate</w:t>
            </w:r>
          </w:p>
        </w:tc>
      </w:tr>
      <w:tr>
        <w:tc>
          <w:tcPr>
            <w:tcW w:type="dxa" w:w="2600"/>
            <w:tcMar>
              <w:top w:type="dxa" w:w="70"/>
              <w:left w:type="dxa" w:w="100"/>
              <w:bottom w:type="dxa" w:w="70"/>
              <w:right w:type="dxa" w:w="100"/>
            </w:tcMar>
          </w:tcPr>
          <w:p>
            <w:pPr>
              <w:spacing w:after="0" w:line="250"/>
            </w:pPr>
            <w:r>
              <w:rPr>
                <w:color w:val="1A1A1A"/>
                <w:sz w:val="19"/>
                <w:szCs w:val="19"/>
              </w:rPr>
              <w:t xml:space="preserve">Internal reporting tool refresh</w:t>
            </w:r>
          </w:p>
        </w:tc>
        <w:tc>
          <w:tcPr>
            <w:tcW w:type="dxa" w:w="700"/>
            <w:tcMar>
              <w:top w:type="dxa" w:w="70"/>
              <w:left w:type="dxa" w:w="100"/>
              <w:bottom w:type="dxa" w:w="70"/>
              <w:right w:type="dxa" w:w="100"/>
            </w:tcMar>
          </w:tcPr>
          <w:p>
            <w:pPr>
              <w:spacing w:after="0" w:line="250"/>
            </w:pPr>
            <w:r>
              <w:rPr>
                <w:color w:val="1A1A1A"/>
                <w:sz w:val="19"/>
                <w:szCs w:val="19"/>
              </w:rPr>
              <w:t xml:space="preserve">T1</w:t>
            </w:r>
          </w:p>
        </w:tc>
        <w:tc>
          <w:tcPr>
            <w:tcW w:type="dxa" w:w="3900"/>
            <w:tcMar>
              <w:top w:type="dxa" w:w="70"/>
              <w:left w:type="dxa" w:w="100"/>
              <w:bottom w:type="dxa" w:w="70"/>
              <w:right w:type="dxa" w:w="100"/>
            </w:tcMar>
          </w:tcPr>
          <w:p>
            <w:pPr>
              <w:spacing w:after="0" w:line="250"/>
            </w:pPr>
            <w:r>
              <w:rPr>
                <w:color w:val="1A1A1A"/>
                <w:sz w:val="19"/>
                <w:szCs w:val="19"/>
              </w:rPr>
              <w:t xml:space="preserve">The tactical option in all nine domains. No substitutions.</w:t>
            </w:r>
          </w:p>
        </w:tc>
        <w:tc>
          <w:tcPr>
            <w:tcW w:type="dxa" w:w="1826"/>
            <w:tcMar>
              <w:top w:type="dxa" w:w="70"/>
              <w:left w:type="dxa" w:w="100"/>
              <w:bottom w:type="dxa" w:w="70"/>
              <w:right w:type="dxa" w:w="100"/>
            </w:tcMar>
          </w:tcPr>
          <w:p>
            <w:pPr>
              <w:spacing w:after="0" w:line="250"/>
            </w:pPr>
            <w:r>
              <w:rPr>
                <w:color w:val="1A1A1A"/>
                <w:sz w:val="19"/>
                <w:szCs w:val="19"/>
              </w:rPr>
              <w:t xml:space="preserve">2.1–3.5 months</w:t>
            </w:r>
          </w:p>
        </w:tc>
      </w:tr>
      <w:tr>
        <w:tc>
          <w:tcPr>
            <w:tcW w:type="dxa" w:w="2600"/>
            <w:tcMar>
              <w:top w:type="dxa" w:w="70"/>
              <w:left w:type="dxa" w:w="100"/>
              <w:bottom w:type="dxa" w:w="70"/>
              <w:right w:type="dxa" w:w="100"/>
            </w:tcMar>
          </w:tcPr>
          <w:p>
            <w:pPr>
              <w:spacing w:after="0" w:line="250"/>
            </w:pPr>
            <w:r>
              <w:rPr>
                <w:color w:val="1A1A1A"/>
                <w:sz w:val="19"/>
                <w:szCs w:val="19"/>
              </w:rPr>
              <w:t xml:space="preserve">SASE migration to Prisma Access</w:t>
            </w:r>
          </w:p>
        </w:tc>
        <w:tc>
          <w:tcPr>
            <w:tcW w:type="dxa" w:w="700"/>
            <w:tcMar>
              <w:top w:type="dxa" w:w="70"/>
              <w:left w:type="dxa" w:w="100"/>
              <w:bottom w:type="dxa" w:w="70"/>
              <w:right w:type="dxa" w:w="100"/>
            </w:tcMar>
          </w:tcPr>
          <w:p>
            <w:pPr>
              <w:spacing w:after="0" w:line="250"/>
            </w:pPr>
            <w:r>
              <w:rPr>
                <w:color w:val="1A1A1A"/>
                <w:sz w:val="19"/>
                <w:szCs w:val="19"/>
              </w:rPr>
              <w:t xml:space="preserve">T3</w:t>
            </w:r>
          </w:p>
        </w:tc>
        <w:tc>
          <w:tcPr>
            <w:tcW w:type="dxa" w:w="3900"/>
            <w:tcMar>
              <w:top w:type="dxa" w:w="70"/>
              <w:left w:type="dxa" w:w="100"/>
              <w:bottom w:type="dxa" w:w="70"/>
              <w:right w:type="dxa" w:w="100"/>
            </w:tcMar>
          </w:tcPr>
          <w:p>
            <w:pPr>
              <w:spacing w:after="0" w:line="250"/>
            </w:pPr>
            <w:r>
              <w:rPr>
                <w:color w:val="1A1A1A"/>
                <w:sz w:val="19"/>
                <w:szCs w:val="19"/>
              </w:rPr>
              <w:t xml:space="preserve">Mixed. Sovereign data enclave forced by a residency constraint.</w:t>
            </w:r>
          </w:p>
        </w:tc>
        <w:tc>
          <w:tcPr>
            <w:tcW w:type="dxa" w:w="1826"/>
            <w:tcMar>
              <w:top w:type="dxa" w:w="70"/>
              <w:left w:type="dxa" w:w="100"/>
              <w:bottom w:type="dxa" w:w="70"/>
              <w:right w:type="dxa" w:w="100"/>
            </w:tcMar>
          </w:tcPr>
          <w:p>
            <w:pPr>
              <w:spacing w:after="0" w:line="250"/>
            </w:pPr>
            <w:r>
              <w:rPr>
                <w:color w:val="1A1A1A"/>
                <w:sz w:val="19"/>
                <w:szCs w:val="19"/>
              </w:rPr>
              <w:t xml:space="preserve">13.4–30.9 months</w:t>
            </w:r>
          </w:p>
        </w:tc>
      </w:tr>
      <w:tr>
        <w:tc>
          <w:tcPr>
            <w:tcW w:type="dxa" w:w="2600"/>
            <w:tcMar>
              <w:top w:type="dxa" w:w="70"/>
              <w:left w:type="dxa" w:w="100"/>
              <w:bottom w:type="dxa" w:w="70"/>
              <w:right w:type="dxa" w:w="100"/>
            </w:tcMar>
          </w:tcPr>
          <w:p>
            <w:pPr>
              <w:spacing w:after="0" w:line="250"/>
            </w:pPr>
            <w:r>
              <w:rPr>
                <w:color w:val="1A1A1A"/>
                <w:sz w:val="19"/>
                <w:szCs w:val="19"/>
              </w:rPr>
              <w:t xml:space="preserve">AI agents in the CI/CD pipeline</w:t>
            </w:r>
          </w:p>
        </w:tc>
        <w:tc>
          <w:tcPr>
            <w:tcW w:type="dxa" w:w="700"/>
            <w:tcMar>
              <w:top w:type="dxa" w:w="70"/>
              <w:left w:type="dxa" w:w="100"/>
              <w:bottom w:type="dxa" w:w="70"/>
              <w:right w:type="dxa" w:w="100"/>
            </w:tcMar>
          </w:tcPr>
          <w:p>
            <w:pPr>
              <w:spacing w:after="0" w:line="250"/>
            </w:pPr>
            <w:r>
              <w:rPr>
                <w:color w:val="1A1A1A"/>
                <w:sz w:val="19"/>
                <w:szCs w:val="19"/>
              </w:rPr>
              <w:t xml:space="preserve">T3</w:t>
            </w:r>
          </w:p>
        </w:tc>
        <w:tc>
          <w:tcPr>
            <w:tcW w:type="dxa" w:w="3900"/>
            <w:tcMar>
              <w:top w:type="dxa" w:w="70"/>
              <w:left w:type="dxa" w:w="100"/>
              <w:bottom w:type="dxa" w:w="70"/>
              <w:right w:type="dxa" w:w="100"/>
            </w:tcMar>
          </w:tcPr>
          <w:p>
            <w:pPr>
              <w:spacing w:after="0" w:line="250"/>
            </w:pPr>
            <w:r>
              <w:rPr>
                <w:color w:val="1A1A1A"/>
                <w:sz w:val="19"/>
                <w:szCs w:val="19"/>
              </w:rPr>
              <w:t xml:space="preserve">Mixed, strategic in identity and network.</w:t>
            </w:r>
          </w:p>
        </w:tc>
        <w:tc>
          <w:tcPr>
            <w:tcW w:type="dxa" w:w="1826"/>
            <w:tcMar>
              <w:top w:type="dxa" w:w="70"/>
              <w:left w:type="dxa" w:w="100"/>
              <w:bottom w:type="dxa" w:w="70"/>
              <w:right w:type="dxa" w:w="100"/>
            </w:tcMar>
          </w:tcPr>
          <w:p>
            <w:pPr>
              <w:spacing w:after="0" w:line="250"/>
            </w:pPr>
            <w:r>
              <w:rPr>
                <w:color w:val="1A1A1A"/>
                <w:sz w:val="19"/>
                <w:szCs w:val="19"/>
              </w:rPr>
              <w:t xml:space="preserve">15.5–35.8 months</w:t>
            </w:r>
          </w:p>
        </w:tc>
      </w:tr>
    </w:tbl>
    <w:p>
      <w:pPr>
        <w:pStyle w:val="Heading2"/>
        <w:spacing w:after="120" w:before="280"/>
      </w:pPr>
      <w:r>
        <w:rPr>
          <w:b/>
          <w:bCs/>
          <w:color w:val="1F4E79"/>
          <w:sz w:val="24"/>
          <w:szCs w:val="24"/>
        </w:rPr>
        <w:t xml:space="preserve">5.2 The finding a domain review cannot produce</w:t>
      </w:r>
    </w:p>
    <w:p>
      <w:pPr>
        <w:pStyle w:val="Heading3"/>
        <w:spacing w:after="100" w:before="220"/>
      </w:pPr>
      <w:r>
        <w:rPr>
          <w:b/>
          <w:bCs/>
          <w:color w:val="1A1A1A"/>
          <w:sz w:val="21"/>
          <w:szCs w:val="21"/>
        </w:rPr>
        <w:t xml:space="preserve">SASE migration — the unowned dependency</w:t>
      </w:r>
    </w:p>
    <w:p>
      <w:pPr>
        <w:spacing w:after="140" w:line="276"/>
      </w:pPr>
      <w:r>
        <w:rPr>
          <w:color w:val="1A1A1A"/>
          <w:sz w:val="21"/>
          <w:szCs w:val="21"/>
        </w:rPr>
        <w:t xml:space="preserve">The network SME identified that inspection means decryption, and decryption is processing — so where Prisma Access decrypts is where data is processed. It refused to answer the residency question and escalated it. When the Master Architect held both domain positions: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000"/>
        <w:gridCol w:w="7026"/>
      </w:tblGrid>
      <w:tr>
        <w:trPr>
          <w:tblHeader/>
        </w:trPr>
        <w:tc>
          <w:tcPr>
            <w:tcW w:type="dxa" w:w="2000"/>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7026"/>
            <w:shd w:fill="EDF1F6" w:val="clear"/>
            <w:tcMar>
              <w:top w:type="dxa" w:w="70"/>
              <w:left w:type="dxa" w:w="100"/>
              <w:bottom w:type="dxa" w:w="70"/>
              <w:right w:type="dxa" w:w="100"/>
            </w:tcMar>
          </w:tcPr>
          <w:p>
            <w:pPr>
              <w:spacing w:after="0" w:line="250"/>
            </w:pPr>
            <w:r>
              <w:rPr>
                <w:b/>
                <w:bCs/>
                <w:color w:val="22303F"/>
                <w:sz w:val="18"/>
                <w:szCs w:val="18"/>
              </w:rPr>
              <w:t xml:space="preserve">What it had assumed</w:t>
            </w:r>
          </w:p>
        </w:tc>
      </w:tr>
      <w:tr>
        <w:tc>
          <w:tcPr>
            <w:tcW w:type="dxa" w:w="2000"/>
            <w:tcMar>
              <w:top w:type="dxa" w:w="70"/>
              <w:left w:type="dxa" w:w="100"/>
              <w:bottom w:type="dxa" w:w="70"/>
              <w:right w:type="dxa" w:w="100"/>
            </w:tcMar>
          </w:tcPr>
          <w:p>
            <w:pPr>
              <w:spacing w:after="0" w:line="250"/>
            </w:pPr>
            <w:r>
              <w:rPr>
                <w:color w:val="1A1A1A"/>
                <w:sz w:val="19"/>
                <w:szCs w:val="19"/>
              </w:rPr>
              <w:t xml:space="preserve">Infrastructure</w:t>
            </w:r>
          </w:p>
        </w:tc>
        <w:tc>
          <w:tcPr>
            <w:tcW w:type="dxa" w:w="7026"/>
            <w:tcMar>
              <w:top w:type="dxa" w:w="70"/>
              <w:left w:type="dxa" w:w="100"/>
              <w:bottom w:type="dxa" w:w="70"/>
              <w:right w:type="dxa" w:w="100"/>
            </w:tcMar>
          </w:tcPr>
          <w:p>
            <w:pPr>
              <w:spacing w:after="0" w:line="250"/>
            </w:pPr>
            <w:r>
              <w:rPr>
                <w:color w:val="1A1A1A"/>
                <w:sz w:val="19"/>
                <w:szCs w:val="19"/>
              </w:rPr>
              <w:t xml:space="preserve">That the data domain would state the residency boundary, and that gateway selection would respect it.</w:t>
            </w:r>
          </w:p>
        </w:tc>
      </w:tr>
      <w:tr>
        <w:tc>
          <w:tcPr>
            <w:tcW w:type="dxa" w:w="2000"/>
            <w:tcMar>
              <w:top w:type="dxa" w:w="70"/>
              <w:left w:type="dxa" w:w="100"/>
              <w:bottom w:type="dxa" w:w="70"/>
              <w:right w:type="dxa" w:w="100"/>
            </w:tcMar>
          </w:tcPr>
          <w:p>
            <w:pPr>
              <w:spacing w:after="0" w:line="250"/>
            </w:pPr>
            <w:r>
              <w:rPr>
                <w:color w:val="1A1A1A"/>
                <w:sz w:val="19"/>
                <w:szCs w:val="19"/>
              </w:rPr>
              <w:t xml:space="preserve">Data</w:t>
            </w:r>
          </w:p>
        </w:tc>
        <w:tc>
          <w:tcPr>
            <w:tcW w:type="dxa" w:w="7026"/>
            <w:tcMar>
              <w:top w:type="dxa" w:w="70"/>
              <w:left w:type="dxa" w:w="100"/>
              <w:bottom w:type="dxa" w:w="70"/>
              <w:right w:type="dxa" w:w="100"/>
            </w:tcMar>
          </w:tcPr>
          <w:p>
            <w:pPr>
              <w:spacing w:after="0" w:line="250"/>
            </w:pPr>
            <w:r>
              <w:rPr>
                <w:color w:val="1A1A1A"/>
                <w:sz w:val="19"/>
                <w:szCs w:val="19"/>
              </w:rPr>
              <w:t xml:space="preserve">That the infrastructure domain would keep inspection in-region, because that is what an in-region requirement implies.</w:t>
            </w:r>
          </w:p>
        </w:tc>
      </w:tr>
    </w:tbl>
    <w:p>
      <w:pPr>
        <w:spacing w:after="140" w:line="276"/>
      </w:pPr>
      <w:r>
        <w:rPr>
          <w:color w:val="1A1A1A"/>
          <w:sz w:val="21"/>
          <w:szCs w:val="21"/>
        </w:rPr>
        <w:t xml:space="preserve">Both outputs were internally complete. Neither had a gap. The dependency was real and unowned. It became a blocking question with a named owner rather than an assumption either side filled in.</w:t>
      </w:r>
    </w:p>
    <w:p>
      <w:pPr>
        <w:pBdr>
          <w:left w:val="single" w:color="1F4E79" w:sz="18"/>
        </w:pBdr>
        <w:shd w:fill="EFF4FA" w:val="clear"/>
        <w:spacing w:after="160" w:before="100" w:line="276"/>
        <w:ind w:left="170" w:right="170"/>
      </w:pPr>
      <w:r>
        <w:rPr>
          <w:color w:val="18324D"/>
          <w:sz w:val="20"/>
          <w:szCs w:val="20"/>
        </w:rPr>
        <w:t xml:space="preserve">The engine independently raised the same tension as an emergent risk — a multi-region resilience position alongside a declared sovereignty boundary. The engine and the team converging on one finding from different directions is a useful signal that it is real.</w:t>
      </w:r>
    </w:p>
    <w:p>
      <w:pPr>
        <w:pStyle w:val="Heading3"/>
        <w:spacing w:after="100" w:before="220"/>
      </w:pPr>
      <w:r>
        <w:rPr>
          <w:b/>
          <w:bCs/>
          <w:color w:val="1A1A1A"/>
          <w:sz w:val="21"/>
          <w:szCs w:val="21"/>
        </w:rPr>
        <w:t xml:space="preserve">Agentic CI/CD — the coordinated substitution</w:t>
      </w:r>
    </w:p>
    <w:p>
      <w:pPr>
        <w:spacing w:after="140" w:line="276"/>
      </w:pPr>
      <w:r>
        <w:rPr>
          <w:color w:val="1A1A1A"/>
          <w:sz w:val="21"/>
          <w:szCs w:val="21"/>
        </w:rPr>
        <w:t xml:space="preserve">Two domains did not get their own highest-scoring option, and the substitution was a pair — neither move helped on its own:</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100"/>
        <w:gridCol w:w="2100"/>
        <w:gridCol w:w="2100"/>
        <w:gridCol w:w="3726"/>
      </w:tblGrid>
      <w:tr>
        <w:trPr>
          <w:tblHeader/>
        </w:trPr>
        <w:tc>
          <w:tcPr>
            <w:tcW w:type="dxa" w:w="1100"/>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2100"/>
            <w:shd w:fill="EDF1F6" w:val="clear"/>
            <w:tcMar>
              <w:top w:type="dxa" w:w="70"/>
              <w:left w:type="dxa" w:w="100"/>
              <w:bottom w:type="dxa" w:w="70"/>
              <w:right w:type="dxa" w:w="100"/>
            </w:tcMar>
          </w:tcPr>
          <w:p>
            <w:pPr>
              <w:spacing w:after="0" w:line="250"/>
            </w:pPr>
            <w:r>
              <w:rPr>
                <w:b/>
                <w:bCs/>
                <w:color w:val="22303F"/>
                <w:sz w:val="18"/>
                <w:szCs w:val="18"/>
              </w:rPr>
              <w:t xml:space="preserve">Wanted</w:t>
            </w:r>
          </w:p>
        </w:tc>
        <w:tc>
          <w:tcPr>
            <w:tcW w:type="dxa" w:w="2100"/>
            <w:shd w:fill="EDF1F6" w:val="clear"/>
            <w:tcMar>
              <w:top w:type="dxa" w:w="70"/>
              <w:left w:type="dxa" w:w="100"/>
              <w:bottom w:type="dxa" w:w="70"/>
              <w:right w:type="dxa" w:w="100"/>
            </w:tcMar>
          </w:tcPr>
          <w:p>
            <w:pPr>
              <w:spacing w:after="0" w:line="250"/>
            </w:pPr>
            <w:r>
              <w:rPr>
                <w:b/>
                <w:bCs/>
                <w:color w:val="22303F"/>
                <w:sz w:val="18"/>
                <w:szCs w:val="18"/>
              </w:rPr>
              <w:t xml:space="preserve">Reconciled to</w:t>
            </w:r>
          </w:p>
        </w:tc>
        <w:tc>
          <w:tcPr>
            <w:tcW w:type="dxa" w:w="3726"/>
            <w:shd w:fill="EDF1F6" w:val="clear"/>
            <w:tcMar>
              <w:top w:type="dxa" w:w="70"/>
              <w:left w:type="dxa" w:w="100"/>
              <w:bottom w:type="dxa" w:w="70"/>
              <w:right w:type="dxa" w:w="100"/>
            </w:tcMar>
          </w:tcPr>
          <w:p>
            <w:pPr>
              <w:spacing w:after="0" w:line="250"/>
            </w:pPr>
            <w:r>
              <w:rPr>
                <w:b/>
                <w:bCs/>
                <w:color w:val="22303F"/>
                <w:sz w:val="18"/>
                <w:szCs w:val="18"/>
              </w:rPr>
              <w:t xml:space="preserve">Why</w:t>
            </w:r>
          </w:p>
        </w:tc>
      </w:tr>
      <w:tr>
        <w:tc>
          <w:tcPr>
            <w:tcW w:type="dxa" w:w="1100"/>
            <w:tcMar>
              <w:top w:type="dxa" w:w="70"/>
              <w:left w:type="dxa" w:w="100"/>
              <w:bottom w:type="dxa" w:w="70"/>
              <w:right w:type="dxa" w:w="100"/>
            </w:tcMar>
          </w:tcPr>
          <w:p>
            <w:pPr>
              <w:spacing w:after="0" w:line="250"/>
            </w:pPr>
            <w:r>
              <w:rPr>
                <w:color w:val="1A1A1A"/>
                <w:sz w:val="19"/>
                <w:szCs w:val="19"/>
              </w:rPr>
              <w:t xml:space="preserve">Identity</w:t>
            </w:r>
          </w:p>
        </w:tc>
        <w:tc>
          <w:tcPr>
            <w:tcW w:type="dxa" w:w="2100"/>
            <w:tcMar>
              <w:top w:type="dxa" w:w="70"/>
              <w:left w:type="dxa" w:w="100"/>
              <w:bottom w:type="dxa" w:w="70"/>
              <w:right w:type="dxa" w:w="100"/>
            </w:tcMar>
          </w:tcPr>
          <w:p>
            <w:pPr>
              <w:spacing w:after="0" w:line="250"/>
            </w:pPr>
            <w:r>
              <w:rPr>
                <w:color w:val="1A1A1A"/>
                <w:sz w:val="19"/>
                <w:szCs w:val="19"/>
              </w:rPr>
              <w:t xml:space="preserve">IAM-02 central policy decision point</w:t>
            </w:r>
          </w:p>
        </w:tc>
        <w:tc>
          <w:tcPr>
            <w:tcW w:type="dxa" w:w="2100"/>
            <w:tcMar>
              <w:top w:type="dxa" w:w="70"/>
              <w:left w:type="dxa" w:w="100"/>
              <w:bottom w:type="dxa" w:w="70"/>
              <w:right w:type="dxa" w:w="100"/>
            </w:tcMar>
          </w:tcPr>
          <w:p>
            <w:pPr>
              <w:spacing w:after="0" w:line="250"/>
            </w:pPr>
            <w:r>
              <w:rPr>
                <w:color w:val="1A1A1A"/>
                <w:sz w:val="19"/>
                <w:szCs w:val="19"/>
              </w:rPr>
              <w:t xml:space="preserve">IAM-04 zero-trust identity fabric</w:t>
            </w:r>
          </w:p>
        </w:tc>
        <w:tc>
          <w:tcPr>
            <w:tcW w:type="dxa" w:w="3726"/>
            <w:tcMar>
              <w:top w:type="dxa" w:w="70"/>
              <w:left w:type="dxa" w:w="100"/>
              <w:bottom w:type="dxa" w:w="70"/>
              <w:right w:type="dxa" w:w="100"/>
            </w:tcMar>
          </w:tcPr>
          <w:p>
            <w:pPr>
              <w:spacing w:after="0" w:line="250"/>
            </w:pPr>
            <w:r>
              <w:rPr>
                <w:color w:val="1A1A1A"/>
                <w:sz w:val="19"/>
                <w:szCs w:val="19"/>
              </w:rPr>
              <w:t xml:space="preserve">Agents act with an identity. Bounding what a compromised agent reaches needs identity strong enough to underpin per-hop policy.</w:t>
            </w:r>
          </w:p>
        </w:tc>
      </w:tr>
      <w:tr>
        <w:tc>
          <w:tcPr>
            <w:tcW w:type="dxa" w:w="1100"/>
            <w:tcMar>
              <w:top w:type="dxa" w:w="70"/>
              <w:left w:type="dxa" w:w="100"/>
              <w:bottom w:type="dxa" w:w="70"/>
              <w:right w:type="dxa" w:w="100"/>
            </w:tcMar>
          </w:tcPr>
          <w:p>
            <w:pPr>
              <w:spacing w:after="0" w:line="250"/>
            </w:pPr>
            <w:r>
              <w:rPr>
                <w:color w:val="1A1A1A"/>
                <w:sz w:val="19"/>
                <w:szCs w:val="19"/>
              </w:rPr>
              <w:t xml:space="preserve">Network</w:t>
            </w:r>
          </w:p>
        </w:tc>
        <w:tc>
          <w:tcPr>
            <w:tcW w:type="dxa" w:w="2100"/>
            <w:tcMar>
              <w:top w:type="dxa" w:w="70"/>
              <w:left w:type="dxa" w:w="100"/>
              <w:bottom w:type="dxa" w:w="70"/>
              <w:right w:type="dxa" w:w="100"/>
            </w:tcMar>
          </w:tcPr>
          <w:p>
            <w:pPr>
              <w:spacing w:after="0" w:line="250"/>
            </w:pPr>
            <w:r>
              <w:rPr>
                <w:color w:val="1A1A1A"/>
                <w:sz w:val="19"/>
                <w:szCs w:val="19"/>
              </w:rPr>
              <w:t xml:space="preserve">NET-02 private connectivity, inspected egress</w:t>
            </w:r>
          </w:p>
        </w:tc>
        <w:tc>
          <w:tcPr>
            <w:tcW w:type="dxa" w:w="2100"/>
            <w:tcMar>
              <w:top w:type="dxa" w:w="70"/>
              <w:left w:type="dxa" w:w="100"/>
              <w:bottom w:type="dxa" w:w="70"/>
              <w:right w:type="dxa" w:w="100"/>
            </w:tcMar>
          </w:tcPr>
          <w:p>
            <w:pPr>
              <w:spacing w:after="0" w:line="250"/>
            </w:pPr>
            <w:r>
              <w:rPr>
                <w:color w:val="1A1A1A"/>
                <w:sz w:val="19"/>
                <w:szCs w:val="19"/>
              </w:rPr>
              <w:t xml:space="preserve">NET-03 micro-segmented, identity-aware</w:t>
            </w:r>
          </w:p>
        </w:tc>
        <w:tc>
          <w:tcPr>
            <w:tcW w:type="dxa" w:w="3726"/>
            <w:tcMar>
              <w:top w:type="dxa" w:w="70"/>
              <w:left w:type="dxa" w:w="100"/>
              <w:bottom w:type="dxa" w:w="70"/>
              <w:right w:type="dxa" w:w="100"/>
            </w:tcMar>
          </w:tcPr>
          <w:p>
            <w:pPr>
              <w:spacing w:after="0" w:line="250"/>
            </w:pPr>
            <w:r>
              <w:rPr>
                <w:color w:val="1A1A1A"/>
                <w:sz w:val="19"/>
                <w:szCs w:val="19"/>
              </w:rPr>
              <w:t xml:space="preserve">Without per-service-pair policy keyed on workload identity, an agent that reaches the network reaches every service on it.</w:t>
            </w:r>
          </w:p>
        </w:tc>
      </w:tr>
    </w:tbl>
    <w:p>
      <w:pPr>
        <w:spacing w:after="140" w:line="276"/>
      </w:pPr>
      <w:r>
        <w:rPr>
          <w:color w:val="1A1A1A"/>
          <w:sz w:val="21"/>
          <w:szCs w:val="21"/>
        </w:rPr>
        <w:t xml:space="preserve">The real risk of an agentic pipeline is blast radius. Two domains that would each have chosen adequately in isolation were pulled up together, because neither position contains an agent alone.</w:t>
      </w:r>
    </w:p>
    <w:p>
      <w:r>
        <w:br w:type="page"/>
      </w:r>
    </w:p>
    <w:p>
      <w:pPr>
        <w:pStyle w:val="Heading1"/>
        <w:spacing w:after="160" w:before="360"/>
      </w:pPr>
      <w:r>
        <w:rPr>
          <w:b/>
          <w:bCs/>
          <w:color w:val="1F4E79"/>
          <w:sz w:val="30"/>
          <w:szCs w:val="30"/>
        </w:rPr>
        <w:t xml:space="preserve">6. What it deliberately does not do</w:t>
      </w:r>
    </w:p>
    <w:p>
      <w:pPr>
        <w:spacing w:after="140" w:line="276"/>
      </w:pPr>
      <w:r>
        <w:rPr>
          <w:color w:val="1A1A1A"/>
          <w:sz w:val="21"/>
          <w:szCs w:val="21"/>
        </w:rPr>
        <w:t xml:space="preserve">Stated plainly, because a method oversold is a method that gets ignored after its first miss.</w:t>
      </w:r>
    </w:p>
    <w:p>
      <w:pPr>
        <w:pStyle w:val="ListParagraph"/>
        <w:numPr>
          <w:ilvl w:val="0"/>
          <w:numId w:val="3"/>
        </w:numPr>
        <w:spacing w:after="90" w:line="276"/>
      </w:pPr>
      <w:r>
        <w:rPr>
          <w:color w:val="1A1A1A"/>
          <w:sz w:val="21"/>
          <w:szCs w:val="21"/>
        </w:rPr>
        <w:t xml:space="preserve">It does not replace architects. It produces questions, options and a reconciliation. People answer, decide and accept risk.</w:t>
      </w:r>
    </w:p>
    <w:p>
      <w:pPr>
        <w:pStyle w:val="ListParagraph"/>
        <w:numPr>
          <w:ilvl w:val="0"/>
          <w:numId w:val="3"/>
        </w:numPr>
        <w:spacing w:after="90" w:line="276"/>
      </w:pPr>
      <w:r>
        <w:rPr>
          <w:color w:val="1A1A1A"/>
          <w:sz w:val="21"/>
          <w:szCs w:val="21"/>
        </w:rPr>
        <w:t xml:space="preserve">It does not invent a number. An unpinned anchor stays unpinned and holds the verdict down. A guessed one would propagate into sizing and cost and be far harder to catch later.</w:t>
      </w:r>
    </w:p>
    <w:p>
      <w:pPr>
        <w:pStyle w:val="ListParagraph"/>
        <w:numPr>
          <w:ilvl w:val="0"/>
          <w:numId w:val="3"/>
        </w:numPr>
        <w:spacing w:after="90" w:line="276"/>
      </w:pPr>
      <w:r>
        <w:rPr>
          <w:color w:val="1A1A1A"/>
          <w:sz w:val="21"/>
          <w:szCs w:val="21"/>
        </w:rPr>
        <w:t xml:space="preserve">It does not assess four of the 13 domains. Offensive security, human and organisational, physical and environmental, and emerging and specialised have no counterpart in the engine. A run's clean verdict is not coverage of them — their Architects must be engaged explicitly.</w:t>
      </w:r>
    </w:p>
    <w:p>
      <w:pPr>
        <w:pStyle w:val="ListParagraph"/>
        <w:numPr>
          <w:ilvl w:val="0"/>
          <w:numId w:val="3"/>
        </w:numPr>
        <w:spacing w:after="90" w:line="276"/>
      </w:pPr>
      <w:r>
        <w:rPr>
          <w:color w:val="1A1A1A"/>
          <w:sz w:val="21"/>
          <w:szCs w:val="21"/>
        </w:rPr>
        <w:t xml:space="preserve">It does not compare projects. Cross-project conflict detection is out of scope for this phase. Each project records the catalogue version that produced it, which is the prerequisite, but the comparison is not built.</w:t>
      </w:r>
    </w:p>
    <w:p>
      <w:pPr>
        <w:pStyle w:val="ListParagraph"/>
        <w:numPr>
          <w:ilvl w:val="0"/>
          <w:numId w:val="3"/>
        </w:numPr>
        <w:spacing w:after="90" w:line="276"/>
      </w:pPr>
      <w:r>
        <w:rPr>
          <w:color w:val="1A1A1A"/>
          <w:sz w:val="21"/>
          <w:szCs w:val="21"/>
        </w:rPr>
        <w:t xml:space="preserve">It does not know this organisation's delivery velocity. Effort figures are a starting position and the roadmap is derived from them. Until they are calibrated against real delivery data, treat every estimate as a shape rather than a number.</w:t>
      </w:r>
    </w:p>
    <w:p>
      <w:pPr>
        <w:pStyle w:val="Heading2"/>
        <w:spacing w:after="120" w:before="280"/>
      </w:pPr>
      <w:r>
        <w:rPr>
          <w:b/>
          <w:bCs/>
          <w:color w:val="1F4E79"/>
          <w:sz w:val="24"/>
          <w:szCs w:val="24"/>
        </w:rPr>
        <w:t xml:space="preserve">6.1 The honest state of the content</w:t>
      </w:r>
    </w:p>
    <w:p>
      <w:pPr>
        <w:spacing w:after="140" w:line="276"/>
      </w:pPr>
      <w:r>
        <w:rPr>
          <w:color w:val="1A1A1A"/>
          <w:sz w:val="21"/>
          <w:szCs w:val="21"/>
        </w:rPr>
        <w:t xml:space="preserve">The engine and the org structure are complete and tested — 62 automated tests, all passing. The catalogue's content is a considered starting position, not settled organisational doctrine. The option effort figures, the risk severities and the SME never-assume lists all reflect a practitioner's judgement that this organisation should review against its own experience.</w:t>
      </w:r>
    </w:p>
    <w:p>
      <w:pPr>
        <w:pBdr>
          <w:left w:val="single" w:color="1F4E79" w:sz="18"/>
        </w:pBdr>
        <w:shd w:fill="EFF4FA" w:val="clear"/>
        <w:spacing w:after="160" w:before="100" w:line="276"/>
        <w:ind w:left="170" w:right="170"/>
      </w:pPr>
      <w:r>
        <w:rPr>
          <w:color w:val="18324D"/>
          <w:sz w:val="20"/>
          <w:szCs w:val="20"/>
        </w:rPr>
        <w:t xml:space="preserve">The most valuable thing a reviewer can do with this is read the never-assume list for their own specialism and tell us what is wrong or missing. That is where the method's accuracy lives.</w:t>
      </w:r>
    </w:p>
    <w:p>
      <w:r>
        <w:br w:type="page"/>
      </w:r>
    </w:p>
    <w:p>
      <w:pPr>
        <w:pStyle w:val="Heading1"/>
        <w:spacing w:after="160" w:before="360"/>
      </w:pPr>
      <w:r>
        <w:rPr>
          <w:b/>
          <w:bCs/>
          <w:color w:val="1F4E79"/>
          <w:sz w:val="30"/>
          <w:szCs w:val="30"/>
        </w:rPr>
        <w:t xml:space="preserve">7. What adoption requires</w:t>
      </w:r>
    </w:p>
    <w:p>
      <w:pPr>
        <w:pStyle w:val="Heading2"/>
        <w:spacing w:after="120" w:before="280"/>
      </w:pPr>
      <w:r>
        <w:rPr>
          <w:b/>
          <w:bCs/>
          <w:color w:val="1F4E79"/>
          <w:sz w:val="24"/>
          <w:szCs w:val="24"/>
        </w:rPr>
        <w:t xml:space="preserve">7.1 Technically, almost nothing</w:t>
      </w:r>
    </w:p>
    <w:p>
      <w:pPr>
        <w:shd w:fill="F4F6F9" w:val="clear"/>
        <w:spacing w:after="0" w:line="240"/>
        <w:ind w:left="170" w:right="170"/>
      </w:pPr>
      <w:r>
        <w:rPr>
          <w:rFonts w:ascii="Consolas" w:cs="Consolas" w:eastAsia="Consolas" w:hAnsi="Consolas"/>
          <w:color w:val="22303F"/>
          <w:sz w:val="18"/>
          <w:szCs w:val="18"/>
        </w:rPr>
        <w:t xml:space="preserve">./setup.sh                                       verify - installs nothing</w:t>
      </w:r>
    </w:p>
    <w:p>
      <w:pPr>
        <w:shd w:fill="F4F6F9" w:val="clear"/>
        <w:spacing w:after="0" w:line="240"/>
        <w:ind w:left="170" w:right="170"/>
      </w:pPr>
      <w:r>
        <w:rPr>
          <w:rFonts w:ascii="Consolas" w:cs="Consolas" w:eastAsia="Consolas" w:hAnsi="Consolas"/>
          <w:color w:val="22303F"/>
          <w:sz w:val="18"/>
          <w:szCs w:val="18"/>
        </w:rPr>
        <w:t xml:space="preserve">python3 -m eas new --brief &lt;your-brief&gt;.md       assess a direction</w:t>
      </w:r>
    </w:p>
    <w:p>
      <w:pPr>
        <w:shd w:fill="F4F6F9" w:val="clear"/>
        <w:spacing w:after="160" w:line="240"/>
        <w:ind w:left="170" w:right="170"/>
      </w:pPr>
      <w:r>
        <w:rPr>
          <w:rFonts w:ascii="Consolas" w:cs="Consolas" w:eastAsia="Consolas" w:hAnsi="Consolas"/>
          <w:color w:val="22303F"/>
          <w:sz w:val="18"/>
          <w:szCs w:val="18"/>
        </w:rPr>
        <w:t xml:space="preserve">python3 -m eas serve                             browser UI</w:t>
      </w:r>
    </w:p>
    <w:p>
      <w:pPr>
        <w:spacing w:after="140" w:line="276"/>
      </w:pPr>
      <w:r>
        <w:rPr>
          <w:color w:val="1A1A1A"/>
          <w:sz w:val="21"/>
          <w:szCs w:val="21"/>
        </w:rPr>
        <w:t xml:space="preserve">Standard-library Python only. No dependencies, no build step, no network access at runtime, and the generated dashboard makes no external requests. It runs behind a corporate proxy on a locked-down laptop, which was a design constraint rather than an outcome.</w:t>
      </w:r>
    </w:p>
    <w:p>
      <w:pPr>
        <w:pStyle w:val="Heading2"/>
        <w:spacing w:after="120" w:before="280"/>
      </w:pPr>
      <w:r>
        <w:rPr>
          <w:b/>
          <w:bCs/>
          <w:color w:val="1F4E79"/>
          <w:sz w:val="24"/>
          <w:szCs w:val="24"/>
        </w:rPr>
        <w:t xml:space="preserve">7.2 Organisationally, three things</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300"/>
        <w:gridCol w:w="2600"/>
        <w:gridCol w:w="4126"/>
      </w:tblGrid>
      <w:tr>
        <w:trPr>
          <w:tblHeader/>
        </w:trPr>
        <w:tc>
          <w:tcPr>
            <w:tcW w:type="dxa" w:w="2300"/>
            <w:shd w:fill="EDF1F6" w:val="clear"/>
            <w:tcMar>
              <w:top w:type="dxa" w:w="70"/>
              <w:left w:type="dxa" w:w="100"/>
              <w:bottom w:type="dxa" w:w="70"/>
              <w:right w:type="dxa" w:w="100"/>
            </w:tcMar>
          </w:tcPr>
          <w:p>
            <w:pPr>
              <w:spacing w:after="0" w:line="250"/>
            </w:pPr>
            <w:r>
              <w:rPr>
                <w:b/>
                <w:bCs/>
                <w:color w:val="22303F"/>
                <w:sz w:val="18"/>
                <w:szCs w:val="18"/>
              </w:rPr>
              <w:t xml:space="preserve">What</w:t>
            </w:r>
          </w:p>
        </w:tc>
        <w:tc>
          <w:tcPr>
            <w:tcW w:type="dxa" w:w="2600"/>
            <w:shd w:fill="EDF1F6" w:val="clear"/>
            <w:tcMar>
              <w:top w:type="dxa" w:w="70"/>
              <w:left w:type="dxa" w:w="100"/>
              <w:bottom w:type="dxa" w:w="70"/>
              <w:right w:type="dxa" w:w="100"/>
            </w:tcMar>
          </w:tcPr>
          <w:p>
            <w:pPr>
              <w:spacing w:after="0" w:line="250"/>
            </w:pPr>
            <w:r>
              <w:rPr>
                <w:b/>
                <w:bCs/>
                <w:color w:val="22303F"/>
                <w:sz w:val="18"/>
                <w:szCs w:val="18"/>
              </w:rPr>
              <w:t xml:space="preserve">Effort</w:t>
            </w:r>
          </w:p>
        </w:tc>
        <w:tc>
          <w:tcPr>
            <w:tcW w:type="dxa" w:w="4126"/>
            <w:shd w:fill="EDF1F6" w:val="clear"/>
            <w:tcMar>
              <w:top w:type="dxa" w:w="70"/>
              <w:left w:type="dxa" w:w="100"/>
              <w:bottom w:type="dxa" w:w="70"/>
              <w:right w:type="dxa" w:w="100"/>
            </w:tcMar>
          </w:tcPr>
          <w:p>
            <w:pPr>
              <w:spacing w:after="0" w:line="250"/>
            </w:pPr>
            <w:r>
              <w:rPr>
                <w:b/>
                <w:bCs/>
                <w:color w:val="22303F"/>
                <w:sz w:val="18"/>
                <w:szCs w:val="18"/>
              </w:rPr>
              <w:t xml:space="preserve">Why it matters</w:t>
            </w:r>
          </w:p>
        </w:tc>
      </w:tr>
      <w:tr>
        <w:tc>
          <w:tcPr>
            <w:tcW w:type="dxa" w:w="2300"/>
            <w:tcMar>
              <w:top w:type="dxa" w:w="70"/>
              <w:left w:type="dxa" w:w="100"/>
              <w:bottom w:type="dxa" w:w="70"/>
              <w:right w:type="dxa" w:w="100"/>
            </w:tcMar>
          </w:tcPr>
          <w:p>
            <w:pPr>
              <w:spacing w:after="0" w:line="250"/>
            </w:pPr>
            <w:r>
              <w:rPr>
                <w:color w:val="1A1A1A"/>
                <w:sz w:val="19"/>
                <w:szCs w:val="19"/>
              </w:rPr>
              <w:t xml:space="preserve">Calibrate the effort figures</w:t>
            </w:r>
          </w:p>
        </w:tc>
        <w:tc>
          <w:tcPr>
            <w:tcW w:type="dxa" w:w="2600"/>
            <w:tcMar>
              <w:top w:type="dxa" w:w="70"/>
              <w:left w:type="dxa" w:w="100"/>
              <w:bottom w:type="dxa" w:w="70"/>
              <w:right w:type="dxa" w:w="100"/>
            </w:tcMar>
          </w:tcPr>
          <w:p>
            <w:pPr>
              <w:spacing w:after="0" w:line="250"/>
            </w:pPr>
            <w:r>
              <w:rPr>
                <w:color w:val="1A1A1A"/>
                <w:sz w:val="19"/>
                <w:szCs w:val="19"/>
              </w:rPr>
              <w:t xml:space="preserve">A workshop with delivery leadership, then a catalogue edit</w:t>
            </w:r>
          </w:p>
        </w:tc>
        <w:tc>
          <w:tcPr>
            <w:tcW w:type="dxa" w:w="4126"/>
            <w:tcMar>
              <w:top w:type="dxa" w:w="70"/>
              <w:left w:type="dxa" w:w="100"/>
              <w:bottom w:type="dxa" w:w="70"/>
              <w:right w:type="dxa" w:w="100"/>
            </w:tcMar>
          </w:tcPr>
          <w:p>
            <w:pPr>
              <w:spacing w:after="0" w:line="250"/>
            </w:pPr>
            <w:r>
              <w:rPr>
                <w:color w:val="1A1A1A"/>
                <w:sz w:val="19"/>
                <w:szCs w:val="19"/>
              </w:rPr>
              <w:t xml:space="preserve">The roadmap is derived from them. Uncalibrated, the estimates are shapes rather than numbers.</w:t>
            </w:r>
          </w:p>
        </w:tc>
      </w:tr>
      <w:tr>
        <w:tc>
          <w:tcPr>
            <w:tcW w:type="dxa" w:w="2300"/>
            <w:tcMar>
              <w:top w:type="dxa" w:w="70"/>
              <w:left w:type="dxa" w:w="100"/>
              <w:bottom w:type="dxa" w:w="70"/>
              <w:right w:type="dxa" w:w="100"/>
            </w:tcMar>
          </w:tcPr>
          <w:p>
            <w:pPr>
              <w:spacing w:after="0" w:line="250"/>
            </w:pPr>
            <w:r>
              <w:rPr>
                <w:color w:val="1A1A1A"/>
                <w:sz w:val="19"/>
                <w:szCs w:val="19"/>
              </w:rPr>
              <w:t xml:space="preserve">Name a catalogue owner</w:t>
            </w:r>
          </w:p>
        </w:tc>
        <w:tc>
          <w:tcPr>
            <w:tcW w:type="dxa" w:w="2600"/>
            <w:tcMar>
              <w:top w:type="dxa" w:w="70"/>
              <w:left w:type="dxa" w:w="100"/>
              <w:bottom w:type="dxa" w:w="70"/>
              <w:right w:type="dxa" w:w="100"/>
            </w:tcMar>
          </w:tcPr>
          <w:p>
            <w:pPr>
              <w:spacing w:after="0" w:line="250"/>
            </w:pPr>
            <w:r>
              <w:rPr>
                <w:color w:val="1A1A1A"/>
                <w:sz w:val="19"/>
                <w:szCs w:val="19"/>
              </w:rPr>
              <w:t xml:space="preserve">Ongoing, light — a few hours a month</w:t>
            </w:r>
          </w:p>
        </w:tc>
        <w:tc>
          <w:tcPr>
            <w:tcW w:type="dxa" w:w="4126"/>
            <w:tcMar>
              <w:top w:type="dxa" w:w="70"/>
              <w:left w:type="dxa" w:w="100"/>
              <w:bottom w:type="dxa" w:w="70"/>
              <w:right w:type="dxa" w:w="100"/>
            </w:tcMar>
          </w:tcPr>
          <w:p>
            <w:pPr>
              <w:spacing w:after="0" w:line="250"/>
            </w:pPr>
            <w:r>
              <w:rPr>
                <w:color w:val="1A1A1A"/>
                <w:sz w:val="19"/>
                <w:szCs w:val="19"/>
              </w:rPr>
              <w:t xml:space="preserve">The catalogue is the framework's content. Unowned, it drifts from the estate and the method quietly stops being right.</w:t>
            </w:r>
          </w:p>
        </w:tc>
      </w:tr>
      <w:tr>
        <w:tc>
          <w:tcPr>
            <w:tcW w:type="dxa" w:w="2300"/>
            <w:tcMar>
              <w:top w:type="dxa" w:w="70"/>
              <w:left w:type="dxa" w:w="100"/>
              <w:bottom w:type="dxa" w:w="70"/>
              <w:right w:type="dxa" w:w="100"/>
            </w:tcMar>
          </w:tcPr>
          <w:p>
            <w:pPr>
              <w:spacing w:after="0" w:line="250"/>
            </w:pPr>
            <w:r>
              <w:rPr>
                <w:color w:val="1A1A1A"/>
                <w:sz w:val="19"/>
                <w:szCs w:val="19"/>
              </w:rPr>
              <w:t xml:space="preserve">Review the SME knowledge bases</w:t>
            </w:r>
          </w:p>
        </w:tc>
        <w:tc>
          <w:tcPr>
            <w:tcW w:type="dxa" w:w="2600"/>
            <w:tcMar>
              <w:top w:type="dxa" w:w="70"/>
              <w:left w:type="dxa" w:w="100"/>
              <w:bottom w:type="dxa" w:w="70"/>
              <w:right w:type="dxa" w:w="100"/>
            </w:tcMar>
          </w:tcPr>
          <w:p>
            <w:pPr>
              <w:spacing w:after="0" w:line="250"/>
            </w:pPr>
            <w:r>
              <w:rPr>
                <w:color w:val="1A1A1A"/>
                <w:sz w:val="19"/>
                <w:szCs w:val="19"/>
              </w:rPr>
              <w:t xml:space="preserve">One specialist per domain, half a day each</w:t>
            </w:r>
          </w:p>
        </w:tc>
        <w:tc>
          <w:tcPr>
            <w:tcW w:type="dxa" w:w="4126"/>
            <w:tcMar>
              <w:top w:type="dxa" w:w="70"/>
              <w:left w:type="dxa" w:w="100"/>
              <w:bottom w:type="dxa" w:w="70"/>
              <w:right w:type="dxa" w:w="100"/>
            </w:tcMar>
          </w:tcPr>
          <w:p>
            <w:pPr>
              <w:spacing w:after="0" w:line="250"/>
            </w:pPr>
            <w:r>
              <w:rPr>
                <w:color w:val="1A1A1A"/>
                <w:sz w:val="19"/>
                <w:szCs w:val="19"/>
              </w:rPr>
              <w:t xml:space="preserve">The never-assume lists are where accuracy lives. A wrong item there produces a confidently wrong question.</w:t>
            </w:r>
          </w:p>
        </w:tc>
      </w:tr>
    </w:tbl>
    <w:p>
      <w:pPr>
        <w:pStyle w:val="Heading2"/>
        <w:spacing w:after="120" w:before="280"/>
      </w:pPr>
      <w:r>
        <w:rPr>
          <w:b/>
          <w:bCs/>
          <w:color w:val="1F4E79"/>
          <w:sz w:val="24"/>
          <w:szCs w:val="24"/>
        </w:rPr>
        <w:t xml:space="preserve">7.3 Suggested pilot</w:t>
      </w:r>
    </w:p>
    <w:p>
      <w:pPr>
        <w:spacing w:after="140" w:line="276"/>
      </w:pPr>
      <w:r>
        <w:rPr>
          <w:color w:val="1A1A1A"/>
          <w:sz w:val="21"/>
          <w:szCs w:val="21"/>
        </w:rPr>
        <w:t xml:space="preserve">Run it against a programme that has already been through architecture governance, and compare what it raises against what governance raised. That is the cheapest honest test: if it surfaces nothing new, it is not worth adopting; if it surfaces something material that was missed, the case makes itself.</w:t>
      </w:r>
    </w:p>
    <w:p>
      <w:r>
        <w:br w:type="page"/>
      </w:r>
    </w:p>
    <w:p>
      <w:pPr>
        <w:pStyle w:val="Heading1"/>
        <w:spacing w:after="160" w:before="360"/>
      </w:pPr>
      <w:r>
        <w:rPr>
          <w:b/>
          <w:bCs/>
          <w:color w:val="1F4E79"/>
          <w:sz w:val="30"/>
          <w:szCs w:val="30"/>
        </w:rPr>
        <w:t xml:space="preserve">8. Decisions requested</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500"/>
        <w:gridCol w:w="3200"/>
        <w:gridCol w:w="1800"/>
        <w:gridCol w:w="3526"/>
      </w:tblGrid>
      <w:tr>
        <w:trPr>
          <w:tblHeader/>
        </w:trPr>
        <w:tc>
          <w:tcPr>
            <w:tcW w:type="dxa" w:w="500"/>
            <w:shd w:fill="EDF1F6" w:val="clear"/>
            <w:tcMar>
              <w:top w:type="dxa" w:w="70"/>
              <w:left w:type="dxa" w:w="100"/>
              <w:bottom w:type="dxa" w:w="70"/>
              <w:right w:type="dxa" w:w="100"/>
            </w:tcMar>
          </w:tcPr>
          <w:p>
            <w:pPr>
              <w:spacing w:after="0" w:line="250"/>
            </w:pPr>
            <w:r>
              <w:rPr>
                <w:b/>
                <w:bCs/>
                <w:color w:val="22303F"/>
                <w:sz w:val="18"/>
                <w:szCs w:val="18"/>
              </w:rPr>
              <w:t xml:space="preserve">#</w:t>
            </w:r>
          </w:p>
        </w:tc>
        <w:tc>
          <w:tcPr>
            <w:tcW w:type="dxa" w:w="3200"/>
            <w:shd w:fill="EDF1F6" w:val="clear"/>
            <w:tcMar>
              <w:top w:type="dxa" w:w="70"/>
              <w:left w:type="dxa" w:w="100"/>
              <w:bottom w:type="dxa" w:w="70"/>
              <w:right w:type="dxa" w:w="100"/>
            </w:tcMar>
          </w:tcPr>
          <w:p>
            <w:pPr>
              <w:spacing w:after="0" w:line="250"/>
            </w:pPr>
            <w:r>
              <w:rPr>
                <w:b/>
                <w:bCs/>
                <w:color w:val="22303F"/>
                <w:sz w:val="18"/>
                <w:szCs w:val="18"/>
              </w:rPr>
              <w:t xml:space="preserve">Decision</w:t>
            </w:r>
          </w:p>
        </w:tc>
        <w:tc>
          <w:tcPr>
            <w:tcW w:type="dxa" w:w="1800"/>
            <w:shd w:fill="EDF1F6" w:val="clear"/>
            <w:tcMar>
              <w:top w:type="dxa" w:w="70"/>
              <w:left w:type="dxa" w:w="100"/>
              <w:bottom w:type="dxa" w:w="70"/>
              <w:right w:type="dxa" w:w="100"/>
            </w:tcMar>
          </w:tcPr>
          <w:p>
            <w:pPr>
              <w:spacing w:after="0" w:line="250"/>
            </w:pPr>
            <w:r>
              <w:rPr>
                <w:b/>
                <w:bCs/>
                <w:color w:val="22303F"/>
                <w:sz w:val="18"/>
                <w:szCs w:val="18"/>
              </w:rPr>
              <w:t xml:space="preserve">Owner</w:t>
            </w:r>
          </w:p>
        </w:tc>
        <w:tc>
          <w:tcPr>
            <w:tcW w:type="dxa" w:w="3526"/>
            <w:shd w:fill="EDF1F6" w:val="clear"/>
            <w:tcMar>
              <w:top w:type="dxa" w:w="70"/>
              <w:left w:type="dxa" w:w="100"/>
              <w:bottom w:type="dxa" w:w="70"/>
              <w:right w:type="dxa" w:w="100"/>
            </w:tcMar>
          </w:tcPr>
          <w:p>
            <w:pPr>
              <w:spacing w:after="0" w:line="250"/>
            </w:pPr>
            <w:r>
              <w:rPr>
                <w:b/>
                <w:bCs/>
                <w:color w:val="22303F"/>
                <w:sz w:val="18"/>
                <w:szCs w:val="18"/>
              </w:rPr>
              <w:t xml:space="preserve">Consequence if deferred</w:t>
            </w:r>
          </w:p>
        </w:tc>
      </w:tr>
      <w:tr>
        <w:tc>
          <w:tcPr>
            <w:tcW w:type="dxa" w:w="500"/>
            <w:tcMar>
              <w:top w:type="dxa" w:w="70"/>
              <w:left w:type="dxa" w:w="100"/>
              <w:bottom w:type="dxa" w:w="70"/>
              <w:right w:type="dxa" w:w="100"/>
            </w:tcMar>
          </w:tcPr>
          <w:p>
            <w:pPr>
              <w:spacing w:after="0" w:line="250"/>
            </w:pPr>
            <w:r>
              <w:rPr>
                <w:color w:val="1A1A1A"/>
                <w:sz w:val="19"/>
                <w:szCs w:val="19"/>
              </w:rPr>
              <w:t xml:space="preserve">1</w:t>
            </w:r>
          </w:p>
        </w:tc>
        <w:tc>
          <w:tcPr>
            <w:tcW w:type="dxa" w:w="3200"/>
            <w:tcMar>
              <w:top w:type="dxa" w:w="70"/>
              <w:left w:type="dxa" w:w="100"/>
              <w:bottom w:type="dxa" w:w="70"/>
              <w:right w:type="dxa" w:w="100"/>
            </w:tcMar>
          </w:tcPr>
          <w:p>
            <w:pPr>
              <w:spacing w:after="0" w:line="250"/>
            </w:pPr>
            <w:r>
              <w:rPr>
                <w:color w:val="1A1A1A"/>
                <w:sz w:val="19"/>
                <w:szCs w:val="19"/>
              </w:rPr>
              <w:t xml:space="preserve">Whether to run the pilot described in 7.3, and against which programme</w:t>
            </w:r>
          </w:p>
        </w:tc>
        <w:tc>
          <w:tcPr>
            <w:tcW w:type="dxa" w:w="1800"/>
            <w:tcMar>
              <w:top w:type="dxa" w:w="70"/>
              <w:left w:type="dxa" w:w="100"/>
              <w:bottom w:type="dxa" w:w="70"/>
              <w:right w:type="dxa" w:w="100"/>
            </w:tcMar>
          </w:tcPr>
          <w:p>
            <w:pPr>
              <w:spacing w:after="0" w:line="250"/>
            </w:pPr>
            <w:r>
              <w:rPr>
                <w:color w:val="1A1A1A"/>
                <w:sz w:val="19"/>
                <w:szCs w:val="19"/>
              </w:rPr>
              <w:t xml:space="preserve">Architecture leadership</w:t>
            </w:r>
          </w:p>
        </w:tc>
        <w:tc>
          <w:tcPr>
            <w:tcW w:type="dxa" w:w="3526"/>
            <w:tcMar>
              <w:top w:type="dxa" w:w="70"/>
              <w:left w:type="dxa" w:w="100"/>
              <w:bottom w:type="dxa" w:w="70"/>
              <w:right w:type="dxa" w:w="100"/>
            </w:tcMar>
          </w:tcPr>
          <w:p>
            <w:pPr>
              <w:spacing w:after="0" w:line="250"/>
            </w:pPr>
            <w:r>
              <w:rPr>
                <w:color w:val="1A1A1A"/>
                <w:sz w:val="19"/>
                <w:szCs w:val="19"/>
              </w:rPr>
              <w:t xml:space="preserve">The method stays unproven against this organisation's own work, and the case for it stays theoretical.</w:t>
            </w:r>
          </w:p>
        </w:tc>
      </w:tr>
      <w:tr>
        <w:tc>
          <w:tcPr>
            <w:tcW w:type="dxa" w:w="500"/>
            <w:tcMar>
              <w:top w:type="dxa" w:w="70"/>
              <w:left w:type="dxa" w:w="100"/>
              <w:bottom w:type="dxa" w:w="70"/>
              <w:right w:type="dxa" w:w="100"/>
            </w:tcMar>
          </w:tcPr>
          <w:p>
            <w:pPr>
              <w:spacing w:after="0" w:line="250"/>
            </w:pPr>
            <w:r>
              <w:rPr>
                <w:color w:val="1A1A1A"/>
                <w:sz w:val="19"/>
                <w:szCs w:val="19"/>
              </w:rPr>
              <w:t xml:space="preserve">2</w:t>
            </w:r>
          </w:p>
        </w:tc>
        <w:tc>
          <w:tcPr>
            <w:tcW w:type="dxa" w:w="3200"/>
            <w:tcMar>
              <w:top w:type="dxa" w:w="70"/>
              <w:left w:type="dxa" w:w="100"/>
              <w:bottom w:type="dxa" w:w="70"/>
              <w:right w:type="dxa" w:w="100"/>
            </w:tcMar>
          </w:tcPr>
          <w:p>
            <w:pPr>
              <w:spacing w:after="0" w:line="250"/>
            </w:pPr>
            <w:r>
              <w:rPr>
                <w:color w:val="1A1A1A"/>
                <w:sz w:val="19"/>
                <w:szCs w:val="19"/>
              </w:rPr>
              <w:t xml:space="preserve">Who owns the catalogue</w:t>
            </w:r>
          </w:p>
        </w:tc>
        <w:tc>
          <w:tcPr>
            <w:tcW w:type="dxa" w:w="1800"/>
            <w:tcMar>
              <w:top w:type="dxa" w:w="70"/>
              <w:left w:type="dxa" w:w="100"/>
              <w:bottom w:type="dxa" w:w="70"/>
              <w:right w:type="dxa" w:w="100"/>
            </w:tcMar>
          </w:tcPr>
          <w:p>
            <w:pPr>
              <w:spacing w:after="0" w:line="250"/>
            </w:pPr>
            <w:r>
              <w:rPr>
                <w:color w:val="1A1A1A"/>
                <w:sz w:val="19"/>
                <w:szCs w:val="19"/>
              </w:rPr>
              <w:t xml:space="preserve">Architecture leadership</w:t>
            </w:r>
          </w:p>
        </w:tc>
        <w:tc>
          <w:tcPr>
            <w:tcW w:type="dxa" w:w="3526"/>
            <w:tcMar>
              <w:top w:type="dxa" w:w="70"/>
              <w:left w:type="dxa" w:w="100"/>
              <w:bottom w:type="dxa" w:w="70"/>
              <w:right w:type="dxa" w:w="100"/>
            </w:tcMar>
          </w:tcPr>
          <w:p>
            <w:pPr>
              <w:spacing w:after="0" w:line="250"/>
            </w:pPr>
            <w:r>
              <w:rPr>
                <w:color w:val="1A1A1A"/>
                <w:sz w:val="19"/>
                <w:szCs w:val="19"/>
              </w:rPr>
              <w:t xml:space="preserve">Content drifts from the estate. The method keeps producing confident output that is increasingly wrong.</w:t>
            </w:r>
          </w:p>
        </w:tc>
      </w:tr>
      <w:tr>
        <w:tc>
          <w:tcPr>
            <w:tcW w:type="dxa" w:w="500"/>
            <w:tcMar>
              <w:top w:type="dxa" w:w="70"/>
              <w:left w:type="dxa" w:w="100"/>
              <w:bottom w:type="dxa" w:w="70"/>
              <w:right w:type="dxa" w:w="100"/>
            </w:tcMar>
          </w:tcPr>
          <w:p>
            <w:pPr>
              <w:spacing w:after="0" w:line="250"/>
            </w:pPr>
            <w:r>
              <w:rPr>
                <w:color w:val="1A1A1A"/>
                <w:sz w:val="19"/>
                <w:szCs w:val="19"/>
              </w:rPr>
              <w:t xml:space="preserve">3</w:t>
            </w:r>
          </w:p>
        </w:tc>
        <w:tc>
          <w:tcPr>
            <w:tcW w:type="dxa" w:w="3200"/>
            <w:tcMar>
              <w:top w:type="dxa" w:w="70"/>
              <w:left w:type="dxa" w:w="100"/>
              <w:bottom w:type="dxa" w:w="70"/>
              <w:right w:type="dxa" w:w="100"/>
            </w:tcMar>
          </w:tcPr>
          <w:p>
            <w:pPr>
              <w:spacing w:after="0" w:line="250"/>
            </w:pPr>
            <w:r>
              <w:rPr>
                <w:color w:val="1A1A1A"/>
                <w:sz w:val="19"/>
                <w:szCs w:val="19"/>
              </w:rPr>
              <w:t xml:space="preserve">Whether to calibrate effort figures against real delivery data, and who provides it</w:t>
            </w:r>
          </w:p>
        </w:tc>
        <w:tc>
          <w:tcPr>
            <w:tcW w:type="dxa" w:w="1800"/>
            <w:tcMar>
              <w:top w:type="dxa" w:w="70"/>
              <w:left w:type="dxa" w:w="100"/>
              <w:bottom w:type="dxa" w:w="70"/>
              <w:right w:type="dxa" w:w="100"/>
            </w:tcMar>
          </w:tcPr>
          <w:p>
            <w:pPr>
              <w:spacing w:after="0" w:line="250"/>
            </w:pPr>
            <w:r>
              <w:rPr>
                <w:color w:val="1A1A1A"/>
                <w:sz w:val="19"/>
                <w:szCs w:val="19"/>
              </w:rPr>
              <w:t xml:space="preserve">Delivery leadership</w:t>
            </w:r>
          </w:p>
        </w:tc>
        <w:tc>
          <w:tcPr>
            <w:tcW w:type="dxa" w:w="3526"/>
            <w:tcMar>
              <w:top w:type="dxa" w:w="70"/>
              <w:left w:type="dxa" w:w="100"/>
              <w:bottom w:type="dxa" w:w="70"/>
              <w:right w:type="dxa" w:w="100"/>
            </w:tcMar>
          </w:tcPr>
          <w:p>
            <w:pPr>
              <w:spacing w:after="0" w:line="250"/>
            </w:pPr>
            <w:r>
              <w:rPr>
                <w:color w:val="1A1A1A"/>
                <w:sz w:val="19"/>
                <w:szCs w:val="19"/>
              </w:rPr>
              <w:t xml:space="preserve">Roadmap output remains directional. Usable for shaping, not for committing.</w:t>
            </w:r>
          </w:p>
        </w:tc>
      </w:tr>
      <w:tr>
        <w:tc>
          <w:tcPr>
            <w:tcW w:type="dxa" w:w="500"/>
            <w:tcMar>
              <w:top w:type="dxa" w:w="70"/>
              <w:left w:type="dxa" w:w="100"/>
              <w:bottom w:type="dxa" w:w="70"/>
              <w:right w:type="dxa" w:w="100"/>
            </w:tcMar>
          </w:tcPr>
          <w:p>
            <w:pPr>
              <w:spacing w:after="0" w:line="250"/>
            </w:pPr>
            <w:r>
              <w:rPr>
                <w:color w:val="1A1A1A"/>
                <w:sz w:val="19"/>
                <w:szCs w:val="19"/>
              </w:rPr>
              <w:t xml:space="preserve">4</w:t>
            </w:r>
          </w:p>
        </w:tc>
        <w:tc>
          <w:tcPr>
            <w:tcW w:type="dxa" w:w="3200"/>
            <w:tcMar>
              <w:top w:type="dxa" w:w="70"/>
              <w:left w:type="dxa" w:w="100"/>
              <w:bottom w:type="dxa" w:w="70"/>
              <w:right w:type="dxa" w:w="100"/>
            </w:tcMar>
          </w:tcPr>
          <w:p>
            <w:pPr>
              <w:spacing w:after="0" w:line="250"/>
            </w:pPr>
            <w:r>
              <w:rPr>
                <w:color w:val="1A1A1A"/>
                <w:sz w:val="19"/>
                <w:szCs w:val="19"/>
              </w:rPr>
              <w:t xml:space="preserve">Whether the four uncovered domains are in scope for assessment, and who engages them</w:t>
            </w:r>
          </w:p>
        </w:tc>
        <w:tc>
          <w:tcPr>
            <w:tcW w:type="dxa" w:w="1800"/>
            <w:tcMar>
              <w:top w:type="dxa" w:w="70"/>
              <w:left w:type="dxa" w:w="100"/>
              <w:bottom w:type="dxa" w:w="70"/>
              <w:right w:type="dxa" w:w="100"/>
            </w:tcMar>
          </w:tcPr>
          <w:p>
            <w:pPr>
              <w:spacing w:after="0" w:line="250"/>
            </w:pPr>
            <w:r>
              <w:rPr>
                <w:color w:val="1A1A1A"/>
                <w:sz w:val="19"/>
                <w:szCs w:val="19"/>
              </w:rPr>
              <w:t xml:space="preserve">Security leadership</w:t>
            </w:r>
          </w:p>
        </w:tc>
        <w:tc>
          <w:tcPr>
            <w:tcW w:type="dxa" w:w="3526"/>
            <w:tcMar>
              <w:top w:type="dxa" w:w="70"/>
              <w:left w:type="dxa" w:w="100"/>
              <w:bottom w:type="dxa" w:w="70"/>
              <w:right w:type="dxa" w:w="100"/>
            </w:tcMar>
          </w:tcPr>
          <w:p>
            <w:pPr>
              <w:spacing w:after="0" w:line="250"/>
            </w:pPr>
            <w:r>
              <w:rPr>
                <w:color w:val="1A1A1A"/>
                <w:sz w:val="19"/>
                <w:szCs w:val="19"/>
              </w:rPr>
              <w:t xml:space="preserve">Runs will keep producing clean verdicts that do not cover offensive security, human, physical or emerging risk.</w:t>
            </w:r>
          </w:p>
        </w:tc>
      </w:tr>
    </w:tbl>
    <w:p>
      <w:pPr>
        <w:pStyle w:val="Heading2"/>
        <w:spacing w:after="120" w:before="280"/>
      </w:pPr>
      <w:r>
        <w:rPr>
          <w:b/>
          <w:bCs/>
          <w:color w:val="1F4E79"/>
          <w:sz w:val="24"/>
          <w:szCs w:val="24"/>
        </w:rPr>
        <w:t xml:space="preserve">8.1 What is already decided</w:t>
      </w:r>
    </w:p>
    <w:p>
      <w:pPr>
        <w:spacing w:after="140" w:line="276"/>
      </w:pPr>
      <w:r>
        <w:rPr>
          <w:color w:val="1A1A1A"/>
          <w:sz w:val="21"/>
          <w:szCs w:val="21"/>
        </w:rPr>
        <w:t xml:space="preserve">The logging operating model is already bound to this organisation's three types — Type 1 security event detection owned by the central monitoring function, Type 2 compliance reporting owned by security governance, Type 3 operational owned by the technology owner. The framework enforces the consequence: no brief and no domain can mandate Type 1, because only the monitoring function decides that. What a domain can require is a compliance obligation, or readiness to answer a future engagement without rework.</w:t>
      </w:r>
    </w:p>
    <w:p>
      <w:pPr>
        <w:pBdr>
          <w:bottom w:val="single" w:color="D9DEE5" w:sz="6"/>
        </w:pBdr>
        <w:spacing w:after="160" w:before="60"/>
      </w:pPr>
    </w:p>
    <w:p>
      <w:pPr>
        <w:spacing w:after="140" w:line="276"/>
      </w:pPr>
      <w:r>
        <w:rPr>
          <w:i/>
          <w:iCs/>
          <w:color w:val="5B6572"/>
          <w:sz w:val="19"/>
          <w:szCs w:val="19"/>
        </w:rPr>
        <w:t xml:space="preserve">Figures in this document are read from the repository at build time rather than transcribed, and the worked examples in section 5 are reproducible: the same brief always produces the same base plate.</w:t>
      </w:r>
    </w:p>
    <w:p>
      <w:r>
        <w:br w:type="page"/>
      </w:r>
    </w:p>
    <w:p>
      <w:pPr>
        <w:pStyle w:val="Heading1"/>
        <w:spacing w:after="160" w:before="360"/>
      </w:pPr>
      <w:r>
        <w:rPr>
          <w:b/>
          <w:bCs/>
          <w:color w:val="1F4E79"/>
          <w:sz w:val="30"/>
          <w:szCs w:val="30"/>
        </w:rPr>
        <w:t xml:space="preserve">Appendix — the thirteen security domains</w:t>
      </w:r>
    </w:p>
    <w:p>
      <w:pPr>
        <w:spacing w:after="140" w:line="276"/>
      </w:pPr>
      <w:r>
        <w:rPr>
          <w:color w:val="1A1A1A"/>
          <w:sz w:val="21"/>
          <w:szCs w:val="21"/>
        </w:rPr>
        <w:t xml:space="preserve">Structure follows the organisation's cyber security domain taxonomy. Cloud is deliberately separate from traditional infrastructure: it moves the trust boundary, the control plane, the identity model and the tooling far enough from data-centre security that treating them as one hides real risk.</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5626"/>
        <w:gridCol w:w="900"/>
        <w:gridCol w:w="2500"/>
      </w:tblGrid>
      <w:tr>
        <w:trPr>
          <w:tblHeader/>
        </w:trPr>
        <w:tc>
          <w:tcPr>
            <w:tcW w:type="dxa" w:w="5626"/>
            <w:shd w:fill="EDF1F6" w:val="clear"/>
            <w:tcMar>
              <w:top w:type="dxa" w:w="70"/>
              <w:left w:type="dxa" w:w="100"/>
              <w:bottom w:type="dxa" w:w="70"/>
              <w:right w:type="dxa" w:w="100"/>
            </w:tcMar>
          </w:tcPr>
          <w:p>
            <w:pPr>
              <w:spacing w:after="0" w:line="250"/>
            </w:pPr>
            <w:r>
              <w:rPr>
                <w:b/>
                <w:bCs/>
                <w:color w:val="22303F"/>
                <w:sz w:val="18"/>
                <w:szCs w:val="18"/>
              </w:rPr>
              <w:t xml:space="preserve">Domain</w:t>
            </w:r>
          </w:p>
        </w:tc>
        <w:tc>
          <w:tcPr>
            <w:tcW w:type="dxa" w:w="900"/>
            <w:shd w:fill="EDF1F6" w:val="clear"/>
            <w:tcMar>
              <w:top w:type="dxa" w:w="70"/>
              <w:left w:type="dxa" w:w="100"/>
              <w:bottom w:type="dxa" w:w="70"/>
              <w:right w:type="dxa" w:w="100"/>
            </w:tcMar>
          </w:tcPr>
          <w:p>
            <w:pPr>
              <w:spacing w:after="0" w:line="250"/>
            </w:pPr>
            <w:r>
              <w:rPr>
                <w:b/>
                <w:bCs/>
                <w:color w:val="22303F"/>
                <w:sz w:val="18"/>
                <w:szCs w:val="18"/>
              </w:rPr>
              <w:t xml:space="preserve">SMEs</w:t>
            </w:r>
          </w:p>
        </w:tc>
        <w:tc>
          <w:tcPr>
            <w:tcW w:type="dxa" w:w="2500"/>
            <w:shd w:fill="EDF1F6" w:val="clear"/>
            <w:tcMar>
              <w:top w:type="dxa" w:w="70"/>
              <w:left w:type="dxa" w:w="100"/>
              <w:bottom w:type="dxa" w:w="70"/>
              <w:right w:type="dxa" w:w="100"/>
            </w:tcMar>
          </w:tcPr>
          <w:p>
            <w:pPr>
              <w:spacing w:after="0" w:line="250"/>
            </w:pPr>
            <w:r>
              <w:rPr>
                <w:b/>
                <w:bCs/>
                <w:color w:val="22303F"/>
                <w:sz w:val="18"/>
                <w:szCs w:val="18"/>
              </w:rPr>
              <w:t xml:space="preserve">Assessed by the engine</w:t>
            </w:r>
          </w:p>
        </w:tc>
      </w:tr>
      <w:tr>
        <w:tc>
          <w:tcPr>
            <w:tcW w:type="dxa" w:w="5626"/>
            <w:tcMar>
              <w:top w:type="dxa" w:w="70"/>
              <w:left w:type="dxa" w:w="100"/>
              <w:bottom w:type="dxa" w:w="70"/>
              <w:right w:type="dxa" w:w="100"/>
            </w:tcMar>
          </w:tcPr>
          <w:p>
            <w:pPr>
              <w:spacing w:after="0" w:line="250"/>
            </w:pPr>
            <w:r>
              <w:rPr>
                <w:color w:val="1A1A1A"/>
                <w:sz w:val="19"/>
                <w:szCs w:val="19"/>
              </w:rPr>
              <w:t xml:space="preserve">GRC — Governance, Risk &amp; Compliance</w:t>
            </w:r>
          </w:p>
        </w:tc>
        <w:tc>
          <w:tcPr>
            <w:tcW w:type="dxa" w:w="900"/>
            <w:tcMar>
              <w:top w:type="dxa" w:w="70"/>
              <w:left w:type="dxa" w:w="100"/>
              <w:bottom w:type="dxa" w:w="70"/>
              <w:right w:type="dxa" w:w="100"/>
            </w:tcMar>
          </w:tcPr>
          <w:p>
            <w:pPr>
              <w:spacing w:after="0" w:line="250"/>
            </w:pPr>
            <w:r>
              <w:rPr>
                <w:color w:val="1A1A1A"/>
                <w:sz w:val="19"/>
                <w:szCs w:val="19"/>
              </w:rPr>
              <w:t xml:space="preserve">8</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SAE — Security Architecture &amp; Engineering</w:t>
            </w:r>
          </w:p>
        </w:tc>
        <w:tc>
          <w:tcPr>
            <w:tcW w:type="dxa" w:w="900"/>
            <w:tcMar>
              <w:top w:type="dxa" w:w="70"/>
              <w:left w:type="dxa" w:w="100"/>
              <w:bottom w:type="dxa" w:w="70"/>
              <w:right w:type="dxa" w:w="100"/>
            </w:tcMar>
          </w:tcPr>
          <w:p>
            <w:pPr>
              <w:spacing w:after="0" w:line="250"/>
            </w:pPr>
            <w:r>
              <w:rPr>
                <w:color w:val="1A1A1A"/>
                <w:sz w:val="19"/>
                <w:szCs w:val="19"/>
              </w:rPr>
              <w:t xml:space="preserve">6</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CLOUD — Cloud Security Architecture</w:t>
            </w:r>
          </w:p>
        </w:tc>
        <w:tc>
          <w:tcPr>
            <w:tcW w:type="dxa" w:w="900"/>
            <w:tcMar>
              <w:top w:type="dxa" w:w="70"/>
              <w:left w:type="dxa" w:w="100"/>
              <w:bottom w:type="dxa" w:w="70"/>
              <w:right w:type="dxa" w:w="100"/>
            </w:tcMar>
          </w:tcPr>
          <w:p>
            <w:pPr>
              <w:spacing w:after="0" w:line="250"/>
            </w:pPr>
            <w:r>
              <w:rPr>
                <w:color w:val="1A1A1A"/>
                <w:sz w:val="19"/>
                <w:szCs w:val="19"/>
              </w:rPr>
              <w:t xml:space="preserve">12</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IAM — Identity &amp; Access Management</w:t>
            </w:r>
          </w:p>
        </w:tc>
        <w:tc>
          <w:tcPr>
            <w:tcW w:type="dxa" w:w="900"/>
            <w:tcMar>
              <w:top w:type="dxa" w:w="70"/>
              <w:left w:type="dxa" w:w="100"/>
              <w:bottom w:type="dxa" w:w="70"/>
              <w:right w:type="dxa" w:w="100"/>
            </w:tcMar>
          </w:tcPr>
          <w:p>
            <w:pPr>
              <w:spacing w:after="0" w:line="250"/>
            </w:pPr>
            <w:r>
              <w:rPr>
                <w:color w:val="1A1A1A"/>
                <w:sz w:val="19"/>
                <w:szCs w:val="19"/>
              </w:rPr>
              <w:t xml:space="preserve">6</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APP — Application &amp; Product Security</w:t>
            </w:r>
          </w:p>
        </w:tc>
        <w:tc>
          <w:tcPr>
            <w:tcW w:type="dxa" w:w="900"/>
            <w:tcMar>
              <w:top w:type="dxa" w:w="70"/>
              <w:left w:type="dxa" w:w="100"/>
              <w:bottom w:type="dxa" w:w="70"/>
              <w:right w:type="dxa" w:w="100"/>
            </w:tcMar>
          </w:tcPr>
          <w:p>
            <w:pPr>
              <w:spacing w:after="0" w:line="250"/>
            </w:pPr>
            <w:r>
              <w:rPr>
                <w:color w:val="1A1A1A"/>
                <w:sz w:val="19"/>
                <w:szCs w:val="19"/>
              </w:rPr>
              <w:t xml:space="preserve">6</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DATA — Data Security</w:t>
            </w:r>
          </w:p>
        </w:tc>
        <w:tc>
          <w:tcPr>
            <w:tcW w:type="dxa" w:w="900"/>
            <w:tcMar>
              <w:top w:type="dxa" w:w="70"/>
              <w:left w:type="dxa" w:w="100"/>
              <w:bottom w:type="dxa" w:w="70"/>
              <w:right w:type="dxa" w:w="100"/>
            </w:tcMar>
          </w:tcPr>
          <w:p>
            <w:pPr>
              <w:spacing w:after="0" w:line="250"/>
            </w:pPr>
            <w:r>
              <w:rPr>
                <w:color w:val="1A1A1A"/>
                <w:sz w:val="19"/>
                <w:szCs w:val="19"/>
              </w:rPr>
              <w:t xml:space="preserve">6</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INFRA — Infrastructure &amp; Endpoint Security (Traditional / On-Premises)</w:t>
            </w:r>
          </w:p>
        </w:tc>
        <w:tc>
          <w:tcPr>
            <w:tcW w:type="dxa" w:w="900"/>
            <w:tcMar>
              <w:top w:type="dxa" w:w="70"/>
              <w:left w:type="dxa" w:w="100"/>
              <w:bottom w:type="dxa" w:w="70"/>
              <w:right w:type="dxa" w:w="100"/>
            </w:tcMar>
          </w:tcPr>
          <w:p>
            <w:pPr>
              <w:spacing w:after="0" w:line="250"/>
            </w:pPr>
            <w:r>
              <w:rPr>
                <w:color w:val="1A1A1A"/>
                <w:sz w:val="19"/>
                <w:szCs w:val="19"/>
              </w:rPr>
              <w:t xml:space="preserve">7</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SECOPS — Security Operations</w:t>
            </w:r>
          </w:p>
        </w:tc>
        <w:tc>
          <w:tcPr>
            <w:tcW w:type="dxa" w:w="900"/>
            <w:tcMar>
              <w:top w:type="dxa" w:w="70"/>
              <w:left w:type="dxa" w:w="100"/>
              <w:bottom w:type="dxa" w:w="70"/>
              <w:right w:type="dxa" w:w="100"/>
            </w:tcMar>
          </w:tcPr>
          <w:p>
            <w:pPr>
              <w:spacing w:after="0" w:line="250"/>
            </w:pPr>
            <w:r>
              <w:rPr>
                <w:color w:val="1A1A1A"/>
                <w:sz w:val="19"/>
                <w:szCs w:val="19"/>
              </w:rPr>
              <w:t xml:space="preserve">8</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OFFSEC — Offensive Security &amp; Adversary Simulation</w:t>
            </w:r>
          </w:p>
        </w:tc>
        <w:tc>
          <w:tcPr>
            <w:tcW w:type="dxa" w:w="900"/>
            <w:tcMar>
              <w:top w:type="dxa" w:w="70"/>
              <w:left w:type="dxa" w:w="100"/>
              <w:bottom w:type="dxa" w:w="70"/>
              <w:right w:type="dxa" w:w="100"/>
            </w:tcMar>
          </w:tcPr>
          <w:p>
            <w:pPr>
              <w:spacing w:after="0" w:line="250"/>
            </w:pPr>
            <w:r>
              <w:rPr>
                <w:color w:val="1A1A1A"/>
                <w:sz w:val="19"/>
                <w:szCs w:val="19"/>
              </w:rPr>
              <w:t xml:space="preserve">5</w:t>
            </w:r>
          </w:p>
        </w:tc>
        <w:tc>
          <w:tcPr>
            <w:tcW w:type="dxa" w:w="2500"/>
            <w:tcMar>
              <w:top w:type="dxa" w:w="70"/>
              <w:left w:type="dxa" w:w="100"/>
              <w:bottom w:type="dxa" w:w="70"/>
              <w:right w:type="dxa" w:w="100"/>
            </w:tcMar>
          </w:tcPr>
          <w:p>
            <w:pPr>
              <w:spacing w:after="0" w:line="250"/>
            </w:pPr>
            <w:r>
              <w:rPr>
                <w:color w:val="1A1A1A"/>
                <w:sz w:val="19"/>
                <w:szCs w:val="19"/>
              </w:rPr>
              <w:t xml:space="preserve">no — engage the Architect</w:t>
            </w:r>
          </w:p>
        </w:tc>
      </w:tr>
      <w:tr>
        <w:tc>
          <w:tcPr>
            <w:tcW w:type="dxa" w:w="5626"/>
            <w:tcMar>
              <w:top w:type="dxa" w:w="70"/>
              <w:left w:type="dxa" w:w="100"/>
              <w:bottom w:type="dxa" w:w="70"/>
              <w:right w:type="dxa" w:w="100"/>
            </w:tcMar>
          </w:tcPr>
          <w:p>
            <w:pPr>
              <w:spacing w:after="0" w:line="250"/>
            </w:pPr>
            <w:r>
              <w:rPr>
                <w:color w:val="1A1A1A"/>
                <w:sz w:val="19"/>
                <w:szCs w:val="19"/>
              </w:rPr>
              <w:t xml:space="preserve">RES — Resilience &amp; Continuity</w:t>
            </w:r>
          </w:p>
        </w:tc>
        <w:tc>
          <w:tcPr>
            <w:tcW w:type="dxa" w:w="900"/>
            <w:tcMar>
              <w:top w:type="dxa" w:w="70"/>
              <w:left w:type="dxa" w:w="100"/>
              <w:bottom w:type="dxa" w:w="70"/>
              <w:right w:type="dxa" w:w="100"/>
            </w:tcMar>
          </w:tcPr>
          <w:p>
            <w:pPr>
              <w:spacing w:after="0" w:line="250"/>
            </w:pPr>
            <w:r>
              <w:rPr>
                <w:color w:val="1A1A1A"/>
                <w:sz w:val="19"/>
                <w:szCs w:val="19"/>
              </w:rPr>
              <w:t xml:space="preserve">5</w:t>
            </w:r>
          </w:p>
        </w:tc>
        <w:tc>
          <w:tcPr>
            <w:tcW w:type="dxa" w:w="2500"/>
            <w:tcMar>
              <w:top w:type="dxa" w:w="70"/>
              <w:left w:type="dxa" w:w="100"/>
              <w:bottom w:type="dxa" w:w="70"/>
              <w:right w:type="dxa" w:w="100"/>
            </w:tcMar>
          </w:tcPr>
          <w:p>
            <w:pPr>
              <w:spacing w:after="0" w:line="250"/>
            </w:pPr>
            <w:r>
              <w:rPr>
                <w:color w:val="1A1A1A"/>
                <w:sz w:val="19"/>
                <w:szCs w:val="19"/>
              </w:rPr>
              <w:t xml:space="preserve">yes</w:t>
            </w:r>
          </w:p>
        </w:tc>
      </w:tr>
      <w:tr>
        <w:tc>
          <w:tcPr>
            <w:tcW w:type="dxa" w:w="5626"/>
            <w:tcMar>
              <w:top w:type="dxa" w:w="70"/>
              <w:left w:type="dxa" w:w="100"/>
              <w:bottom w:type="dxa" w:w="70"/>
              <w:right w:type="dxa" w:w="100"/>
            </w:tcMar>
          </w:tcPr>
          <w:p>
            <w:pPr>
              <w:spacing w:after="0" w:line="250"/>
            </w:pPr>
            <w:r>
              <w:rPr>
                <w:color w:val="1A1A1A"/>
                <w:sz w:val="19"/>
                <w:szCs w:val="19"/>
              </w:rPr>
              <w:t xml:space="preserve">HUMAN — Human &amp; Organisational Security</w:t>
            </w:r>
          </w:p>
        </w:tc>
        <w:tc>
          <w:tcPr>
            <w:tcW w:type="dxa" w:w="900"/>
            <w:tcMar>
              <w:top w:type="dxa" w:w="70"/>
              <w:left w:type="dxa" w:w="100"/>
              <w:bottom w:type="dxa" w:w="70"/>
              <w:right w:type="dxa" w:w="100"/>
            </w:tcMar>
          </w:tcPr>
          <w:p>
            <w:pPr>
              <w:spacing w:after="0" w:line="250"/>
            </w:pPr>
            <w:r>
              <w:rPr>
                <w:color w:val="1A1A1A"/>
                <w:sz w:val="19"/>
                <w:szCs w:val="19"/>
              </w:rPr>
              <w:t xml:space="preserve">4</w:t>
            </w:r>
          </w:p>
        </w:tc>
        <w:tc>
          <w:tcPr>
            <w:tcW w:type="dxa" w:w="2500"/>
            <w:tcMar>
              <w:top w:type="dxa" w:w="70"/>
              <w:left w:type="dxa" w:w="100"/>
              <w:bottom w:type="dxa" w:w="70"/>
              <w:right w:type="dxa" w:w="100"/>
            </w:tcMar>
          </w:tcPr>
          <w:p>
            <w:pPr>
              <w:spacing w:after="0" w:line="250"/>
            </w:pPr>
            <w:r>
              <w:rPr>
                <w:color w:val="1A1A1A"/>
                <w:sz w:val="19"/>
                <w:szCs w:val="19"/>
              </w:rPr>
              <w:t xml:space="preserve">no — engage the Architect</w:t>
            </w:r>
          </w:p>
        </w:tc>
      </w:tr>
      <w:tr>
        <w:tc>
          <w:tcPr>
            <w:tcW w:type="dxa" w:w="5626"/>
            <w:tcMar>
              <w:top w:type="dxa" w:w="70"/>
              <w:left w:type="dxa" w:w="100"/>
              <w:bottom w:type="dxa" w:w="70"/>
              <w:right w:type="dxa" w:w="100"/>
            </w:tcMar>
          </w:tcPr>
          <w:p>
            <w:pPr>
              <w:spacing w:after="0" w:line="250"/>
            </w:pPr>
            <w:r>
              <w:rPr>
                <w:color w:val="1A1A1A"/>
                <w:sz w:val="19"/>
                <w:szCs w:val="19"/>
              </w:rPr>
              <w:t xml:space="preserve">PHYS — Physical &amp; Environmental Security</w:t>
            </w:r>
          </w:p>
        </w:tc>
        <w:tc>
          <w:tcPr>
            <w:tcW w:type="dxa" w:w="900"/>
            <w:tcMar>
              <w:top w:type="dxa" w:w="70"/>
              <w:left w:type="dxa" w:w="100"/>
              <w:bottom w:type="dxa" w:w="70"/>
              <w:right w:type="dxa" w:w="100"/>
            </w:tcMar>
          </w:tcPr>
          <w:p>
            <w:pPr>
              <w:spacing w:after="0" w:line="250"/>
            </w:pPr>
            <w:r>
              <w:rPr>
                <w:color w:val="1A1A1A"/>
                <w:sz w:val="19"/>
                <w:szCs w:val="19"/>
              </w:rPr>
              <w:t xml:space="preserve">3</w:t>
            </w:r>
          </w:p>
        </w:tc>
        <w:tc>
          <w:tcPr>
            <w:tcW w:type="dxa" w:w="2500"/>
            <w:tcMar>
              <w:top w:type="dxa" w:w="70"/>
              <w:left w:type="dxa" w:w="100"/>
              <w:bottom w:type="dxa" w:w="70"/>
              <w:right w:type="dxa" w:w="100"/>
            </w:tcMar>
          </w:tcPr>
          <w:p>
            <w:pPr>
              <w:spacing w:after="0" w:line="250"/>
            </w:pPr>
            <w:r>
              <w:rPr>
                <w:color w:val="1A1A1A"/>
                <w:sz w:val="19"/>
                <w:szCs w:val="19"/>
              </w:rPr>
              <w:t xml:space="preserve">no — engage the Architect</w:t>
            </w:r>
          </w:p>
        </w:tc>
      </w:tr>
      <w:tr>
        <w:tc>
          <w:tcPr>
            <w:tcW w:type="dxa" w:w="5626"/>
            <w:tcMar>
              <w:top w:type="dxa" w:w="70"/>
              <w:left w:type="dxa" w:w="100"/>
              <w:bottom w:type="dxa" w:w="70"/>
              <w:right w:type="dxa" w:w="100"/>
            </w:tcMar>
          </w:tcPr>
          <w:p>
            <w:pPr>
              <w:spacing w:after="0" w:line="250"/>
            </w:pPr>
            <w:r>
              <w:rPr>
                <w:color w:val="1A1A1A"/>
                <w:sz w:val="19"/>
                <w:szCs w:val="19"/>
              </w:rPr>
              <w:t xml:space="preserve">EMRG — Emerging &amp; Specialised</w:t>
            </w:r>
          </w:p>
        </w:tc>
        <w:tc>
          <w:tcPr>
            <w:tcW w:type="dxa" w:w="900"/>
            <w:tcMar>
              <w:top w:type="dxa" w:w="70"/>
              <w:left w:type="dxa" w:w="100"/>
              <w:bottom w:type="dxa" w:w="70"/>
              <w:right w:type="dxa" w:w="100"/>
            </w:tcMar>
          </w:tcPr>
          <w:p>
            <w:pPr>
              <w:spacing w:after="0" w:line="250"/>
            </w:pPr>
            <w:r>
              <w:rPr>
                <w:color w:val="1A1A1A"/>
                <w:sz w:val="19"/>
                <w:szCs w:val="19"/>
              </w:rPr>
              <w:t xml:space="preserve">4</w:t>
            </w:r>
          </w:p>
        </w:tc>
        <w:tc>
          <w:tcPr>
            <w:tcW w:type="dxa" w:w="2500"/>
            <w:tcMar>
              <w:top w:type="dxa" w:w="70"/>
              <w:left w:type="dxa" w:w="100"/>
              <w:bottom w:type="dxa" w:w="70"/>
              <w:right w:type="dxa" w:w="100"/>
            </w:tcMar>
          </w:tcPr>
          <w:p>
            <w:pPr>
              <w:spacing w:after="0" w:line="250"/>
            </w:pPr>
            <w:r>
              <w:rPr>
                <w:color w:val="1A1A1A"/>
                <w:sz w:val="19"/>
                <w:szCs w:val="19"/>
              </w:rPr>
              <w:t xml:space="preserve">no — engage the Architect</w:t>
            </w:r>
          </w:p>
        </w:tc>
      </w:tr>
    </w:tbl>
    <w:p>
      <w:pPr>
        <w:spacing w:after="140" w:line="276"/>
      </w:pPr>
      <w:r>
        <w:rPr>
          <w:color w:val="1A1A1A"/>
          <w:sz w:val="21"/>
          <w:szCs w:val="21"/>
        </w:rPr>
        <w:t xml:space="preserve">80 SMEs in total, carrying 321 explicit refusals to assume and 240 standing questions, each with a named owner role. 94 agent definitions, all generated from one catalogue so the org chart and the engine cannot disagree.</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 Strategy — briefing document</dc:title>
  <dc:creator>Enterprise Architect Strategy framework</dc:creator>
  <cp:lastModifiedBy>Un-named</cp:lastModifiedBy>
  <cp:revision>1</cp:revision>
  <dcterms:created xsi:type="dcterms:W3CDTF">2026-08-28T10:43:33.015Z</dcterms:created>
  <dcterms:modified xsi:type="dcterms:W3CDTF">2026-08-28T10:43:33.015Z</dcterms:modified>
</cp:coreProperties>
</file>

<file path=docProps/custom.xml><?xml version="1.0" encoding="utf-8"?>
<Properties xmlns="http://schemas.openxmlformats.org/officeDocument/2006/custom-properties" xmlns:vt="http://schemas.openxmlformats.org/officeDocument/2006/docPropsVTypes"/>
</file>