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1F4E79"/>
          <w:sz w:val="52"/>
          <w:szCs w:val="52"/>
        </w:rPr>
        <w:t xml:space="preserve">Enterprise Architect Strategy</w:t>
      </w:r>
    </w:p>
    <w:p>
      <w:pPr>
        <w:spacing w:after="400"/>
      </w:pPr>
      <w:r>
        <w:rPr>
          <w:color w:val="5B6572"/>
          <w:sz w:val="28"/>
          <w:szCs w:val="28"/>
        </w:rPr>
        <w:t xml:space="preserve">Setup, operating flow and worked examples</w:t>
      </w:r>
    </w:p>
    <w:p>
      <w:pPr>
        <w:pBdr>
          <w:bottom w:val="single" w:color="D9DEE5" w:sz="6"/>
        </w:pBdr>
        <w:spacing w:after="160" w:before="60"/>
      </w:pPr>
    </w:p>
    <w:p>
      <w:pPr>
        <w:spacing w:after="300" w:line="276"/>
      </w:pPr>
      <w:r>
        <w:rPr>
          <w:color w:val="5B6572"/>
          <w:sz w:val="22"/>
          <w:szCs w:val="22"/>
        </w:rPr>
        <w:t xml:space="preserve">A repeatable method for standing up an architecture direction: a deterministic base-plate engine over nine validator domains, and a three-tier security architecture team of 94 agents over 13 security domains. This document covers how to set it up, how work flows through it, where the hand-offs are, and what it produces.</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2400"/>
        <w:gridCol w:w="6626"/>
      </w:tblGrid>
      <w:tr>
        <w:trPr>
          <w:tblHeader/>
        </w:trPr>
        <w:tc>
          <w:tcPr>
            <w:tcW w:type="dxa" w:w="2400"/>
            <w:shd w:fill="EDF1F6" w:val="clear"/>
            <w:tcMar>
              <w:top w:type="dxa" w:w="70"/>
              <w:left w:type="dxa" w:w="100"/>
              <w:bottom w:type="dxa" w:w="70"/>
              <w:right w:type="dxa" w:w="100"/>
            </w:tcMar>
          </w:tcPr>
          <w:p>
            <w:pPr>
              <w:spacing w:after="0" w:line="250"/>
            </w:pPr>
            <w:r>
              <w:rPr>
                <w:b/>
                <w:bCs/>
                <w:color w:val="22303F"/>
                <w:sz w:val="18"/>
                <w:szCs w:val="18"/>
              </w:rPr>
              <w:t xml:space="preserve"/>
            </w:r>
          </w:p>
        </w:tc>
        <w:tc>
          <w:tcPr>
            <w:tcW w:type="dxa" w:w="6626"/>
            <w:shd w:fill="EDF1F6" w:val="clear"/>
            <w:tcMar>
              <w:top w:type="dxa" w:w="70"/>
              <w:left w:type="dxa" w:w="100"/>
              <w:bottom w:type="dxa" w:w="70"/>
              <w:right w:type="dxa" w:w="100"/>
            </w:tcMar>
          </w:tcPr>
          <w:p>
            <w:pPr>
              <w:spacing w:after="0" w:line="250"/>
            </w:pPr>
            <w:r>
              <w:rPr>
                <w:b/>
                <w:bCs/>
                <w:color w:val="22303F"/>
                <w:sz w:val="18"/>
                <w:szCs w:val="18"/>
              </w:rPr>
              <w:t xml:space="preserve"/>
            </w:r>
          </w:p>
        </w:tc>
      </w:tr>
      <w:tr>
        <w:tc>
          <w:tcPr>
            <w:tcW w:type="dxa" w:w="2400"/>
            <w:tcMar>
              <w:top w:type="dxa" w:w="70"/>
              <w:left w:type="dxa" w:w="100"/>
              <w:bottom w:type="dxa" w:w="70"/>
              <w:right w:type="dxa" w:w="100"/>
            </w:tcMar>
          </w:tcPr>
          <w:p>
            <w:pPr>
              <w:spacing w:after="0" w:line="250"/>
            </w:pPr>
            <w:r>
              <w:rPr>
                <w:color w:val="1A1A1A"/>
                <w:sz w:val="19"/>
                <w:szCs w:val="19"/>
              </w:rPr>
              <w:t xml:space="preserve">Repository</w:t>
            </w:r>
          </w:p>
        </w:tc>
        <w:tc>
          <w:tcPr>
            <w:tcW w:type="dxa" w:w="6626"/>
            <w:tcMar>
              <w:top w:type="dxa" w:w="70"/>
              <w:left w:type="dxa" w:w="100"/>
              <w:bottom w:type="dxa" w:w="70"/>
              <w:right w:type="dxa" w:w="100"/>
            </w:tcMar>
          </w:tcPr>
          <w:p>
            <w:pPr>
              <w:spacing w:after="0" w:line="250"/>
            </w:pPr>
            <w:r>
              <w:rPr>
                <w:color w:val="1A1A1A"/>
                <w:sz w:val="19"/>
                <w:szCs w:val="19"/>
              </w:rPr>
              <w:t xml:space="preserve">Enterprise-Architect-Strategy-framework</w:t>
            </w:r>
          </w:p>
        </w:tc>
      </w:tr>
      <w:tr>
        <w:tc>
          <w:tcPr>
            <w:tcW w:type="dxa" w:w="2400"/>
            <w:tcMar>
              <w:top w:type="dxa" w:w="70"/>
              <w:left w:type="dxa" w:w="100"/>
              <w:bottom w:type="dxa" w:w="70"/>
              <w:right w:type="dxa" w:w="100"/>
            </w:tcMar>
          </w:tcPr>
          <w:p>
            <w:pPr>
              <w:spacing w:after="0" w:line="250"/>
            </w:pPr>
            <w:r>
              <w:rPr>
                <w:color w:val="1A1A1A"/>
                <w:sz w:val="19"/>
                <w:szCs w:val="19"/>
              </w:rPr>
              <w:t xml:space="preserve">Branch</w:t>
            </w:r>
          </w:p>
        </w:tc>
        <w:tc>
          <w:tcPr>
            <w:tcW w:type="dxa" w:w="6626"/>
            <w:tcMar>
              <w:top w:type="dxa" w:w="70"/>
              <w:left w:type="dxa" w:w="100"/>
              <w:bottom w:type="dxa" w:w="70"/>
              <w:right w:type="dxa" w:w="100"/>
            </w:tcMar>
          </w:tcPr>
          <w:p>
            <w:pPr>
              <w:spacing w:after="0" w:line="250"/>
            </w:pPr>
            <w:r>
              <w:rPr>
                <w:color w:val="1A1A1A"/>
                <w:sz w:val="19"/>
                <w:szCs w:val="19"/>
              </w:rPr>
              <w:t xml:space="preserve">claude/enterprise-architect-strategy-app-8vp6mr</w:t>
            </w:r>
          </w:p>
        </w:tc>
      </w:tr>
      <w:tr>
        <w:tc>
          <w:tcPr>
            <w:tcW w:type="dxa" w:w="2400"/>
            <w:tcMar>
              <w:top w:type="dxa" w:w="70"/>
              <w:left w:type="dxa" w:w="100"/>
              <w:bottom w:type="dxa" w:w="70"/>
              <w:right w:type="dxa" w:w="100"/>
            </w:tcMar>
          </w:tcPr>
          <w:p>
            <w:pPr>
              <w:spacing w:after="0" w:line="250"/>
            </w:pPr>
            <w:r>
              <w:rPr>
                <w:color w:val="1A1A1A"/>
                <w:sz w:val="19"/>
                <w:szCs w:val="19"/>
              </w:rPr>
              <w:t xml:space="preserve">Runtime</w:t>
            </w:r>
          </w:p>
        </w:tc>
        <w:tc>
          <w:tcPr>
            <w:tcW w:type="dxa" w:w="6626"/>
            <w:tcMar>
              <w:top w:type="dxa" w:w="70"/>
              <w:left w:type="dxa" w:w="100"/>
              <w:bottom w:type="dxa" w:w="70"/>
              <w:right w:type="dxa" w:w="100"/>
            </w:tcMar>
          </w:tcPr>
          <w:p>
            <w:pPr>
              <w:spacing w:after="0" w:line="250"/>
            </w:pPr>
            <w:r>
              <w:rPr>
                <w:color w:val="1A1A1A"/>
                <w:sz w:val="19"/>
                <w:szCs w:val="19"/>
              </w:rPr>
              <w:t xml:space="preserve">Python 3.9+ standard library only — no dependencies</w:t>
            </w:r>
          </w:p>
        </w:tc>
      </w:tr>
      <w:tr>
        <w:tc>
          <w:tcPr>
            <w:tcW w:type="dxa" w:w="2400"/>
            <w:tcMar>
              <w:top w:type="dxa" w:w="70"/>
              <w:left w:type="dxa" w:w="100"/>
              <w:bottom w:type="dxa" w:w="70"/>
              <w:right w:type="dxa" w:w="100"/>
            </w:tcMar>
          </w:tcPr>
          <w:p>
            <w:pPr>
              <w:spacing w:after="0" w:line="250"/>
            </w:pPr>
            <w:r>
              <w:rPr>
                <w:color w:val="1A1A1A"/>
                <w:sz w:val="19"/>
                <w:szCs w:val="19"/>
              </w:rPr>
              <w:t xml:space="preserve">Engine</w:t>
            </w:r>
          </w:p>
        </w:tc>
        <w:tc>
          <w:tcPr>
            <w:tcW w:type="dxa" w:w="6626"/>
            <w:tcMar>
              <w:top w:type="dxa" w:w="70"/>
              <w:left w:type="dxa" w:w="100"/>
              <w:bottom w:type="dxa" w:w="70"/>
              <w:right w:type="dxa" w:w="100"/>
            </w:tcMar>
          </w:tcPr>
          <w:p>
            <w:pPr>
              <w:spacing w:after="0" w:line="250"/>
            </w:pPr>
            <w:r>
              <w:rPr>
                <w:color w:val="1A1A1A"/>
                <w:sz w:val="19"/>
                <w:szCs w:val="19"/>
              </w:rPr>
              <w:t xml:space="preserve">9 validator domains, 34 options, 62 capabilities, 33 cross-domain rules, 28 intake signals</w:t>
            </w:r>
          </w:p>
        </w:tc>
      </w:tr>
      <w:tr>
        <w:tc>
          <w:tcPr>
            <w:tcW w:type="dxa" w:w="2400"/>
            <w:tcMar>
              <w:top w:type="dxa" w:w="70"/>
              <w:left w:type="dxa" w:w="100"/>
              <w:bottom w:type="dxa" w:w="70"/>
              <w:right w:type="dxa" w:w="100"/>
            </w:tcMar>
          </w:tcPr>
          <w:p>
            <w:pPr>
              <w:spacing w:after="0" w:line="250"/>
            </w:pPr>
            <w:r>
              <w:rPr>
                <w:color w:val="1A1A1A"/>
                <w:sz w:val="19"/>
                <w:szCs w:val="19"/>
              </w:rPr>
              <w:t xml:space="preserve">Team</w:t>
            </w:r>
          </w:p>
        </w:tc>
        <w:tc>
          <w:tcPr>
            <w:tcW w:type="dxa" w:w="6626"/>
            <w:tcMar>
              <w:top w:type="dxa" w:w="70"/>
              <w:left w:type="dxa" w:w="100"/>
              <w:bottom w:type="dxa" w:w="70"/>
              <w:right w:type="dxa" w:w="100"/>
            </w:tcMar>
          </w:tcPr>
          <w:p>
            <w:pPr>
              <w:spacing w:after="0" w:line="250"/>
            </w:pPr>
            <w:r>
              <w:rPr>
                <w:color w:val="1A1A1A"/>
                <w:sz w:val="19"/>
                <w:szCs w:val="19"/>
              </w:rPr>
              <w:t xml:space="preserve">1 Master Architect, 13 Domain Architects, 80 capability SMEs (94 agent definitions)</w:t>
            </w:r>
          </w:p>
        </w:tc>
      </w:tr>
      <w:tr>
        <w:tc>
          <w:tcPr>
            <w:tcW w:type="dxa" w:w="2400"/>
            <w:tcMar>
              <w:top w:type="dxa" w:w="70"/>
              <w:left w:type="dxa" w:w="100"/>
              <w:bottom w:type="dxa" w:w="70"/>
              <w:right w:type="dxa" w:w="100"/>
            </w:tcMar>
          </w:tcPr>
          <w:p>
            <w:pPr>
              <w:spacing w:after="0" w:line="250"/>
            </w:pPr>
            <w:r>
              <w:rPr>
                <w:color w:val="1A1A1A"/>
                <w:sz w:val="19"/>
                <w:szCs w:val="19"/>
              </w:rPr>
              <w:t xml:space="preserve">Worked examples</w:t>
            </w:r>
          </w:p>
        </w:tc>
        <w:tc>
          <w:tcPr>
            <w:tcW w:type="dxa" w:w="6626"/>
            <w:tcMar>
              <w:top w:type="dxa" w:w="70"/>
              <w:left w:type="dxa" w:w="100"/>
              <w:bottom w:type="dxa" w:w="70"/>
              <w:right w:type="dxa" w:w="100"/>
            </w:tcMar>
          </w:tcPr>
          <w:p>
            <w:pPr>
              <w:spacing w:after="0" w:line="250"/>
            </w:pPr>
            <w:r>
              <w:rPr>
                <w:color w:val="1A1A1A"/>
                <w:sz w:val="19"/>
                <w:szCs w:val="19"/>
              </w:rPr>
              <w:t xml:space="preserve">SASE migration to Prisma Access; AI agents in the CI/CD pipeline</w:t>
            </w:r>
          </w:p>
        </w:tc>
      </w:tr>
    </w:tbl>
    <w:p>
      <w:r>
        <w:br w:type="page"/>
      </w:r>
    </w:p>
    <w:p>
      <w:pPr>
        <w:pStyle w:val="Heading1"/>
        <w:spacing w:after="160" w:before="360"/>
      </w:pPr>
      <w:r>
        <w:rPr>
          <w:b/>
          <w:bCs/>
          <w:color w:val="1F4E79"/>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1F4E79"/>
          <w:sz w:val="30"/>
          <w:szCs w:val="30"/>
        </w:rPr>
        <w:t xml:space="preserve">1. What this is</w:t>
      </w:r>
    </w:p>
    <w:p>
      <w:pPr>
        <w:spacing w:after="140" w:line="276"/>
      </w:pPr>
      <w:r>
        <w:rPr>
          <w:color w:val="1A1A1A"/>
          <w:sz w:val="21"/>
          <w:szCs w:val="21"/>
        </w:rPr>
        <w:t xml:space="preserve">Two halves that do different jobs, deliberately kept apart.</w:t>
      </w:r>
    </w:p>
    <w:p>
      <w:pPr>
        <w:pStyle w:val="Heading2"/>
        <w:spacing w:after="120" w:before="280"/>
      </w:pPr>
      <w:r>
        <w:rPr>
          <w:b/>
          <w:bCs/>
          <w:color w:val="1F4E79"/>
          <w:sz w:val="24"/>
          <w:szCs w:val="24"/>
        </w:rPr>
        <w:t xml:space="preserve">1.1 The engine — what is stable</w:t>
      </w:r>
    </w:p>
    <w:p>
      <w:pPr>
        <w:spacing w:after="140" w:line="276"/>
      </w:pPr>
      <w:r>
        <w:rPr>
          <w:color w:val="1A1A1A"/>
          <w:sz w:val="21"/>
          <w:szCs w:val="21"/>
        </w:rPr>
        <w:t xml:space="preserve">A deterministic Python application. It reads a brief, grades its complexity, has nine validator domains each rank a set of catalogued options, then reconciles those options against each other end to end and grades a verdict. Same catalogue, brief, overrides and pins always produce the same base plate, which is what makes two runs comparable and a decision defensible.</w:t>
      </w:r>
    </w:p>
    <w:p>
      <w:pPr>
        <w:spacing w:after="140" w:line="276"/>
      </w:pPr>
      <w:r>
        <w:rPr>
          <w:color w:val="1A1A1A"/>
          <w:sz w:val="21"/>
          <w:szCs w:val="21"/>
        </w:rPr>
        <w:t xml:space="preserve">It produces three levels of output from one run:</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2400"/>
        <w:gridCol w:w="6626"/>
      </w:tblGrid>
      <w:tr>
        <w:trPr>
          <w:tblHeader/>
        </w:trPr>
        <w:tc>
          <w:tcPr>
            <w:tcW w:type="dxa" w:w="2400"/>
            <w:shd w:fill="EDF1F6" w:val="clear"/>
            <w:tcMar>
              <w:top w:type="dxa" w:w="70"/>
              <w:left w:type="dxa" w:w="100"/>
              <w:bottom w:type="dxa" w:w="70"/>
              <w:right w:type="dxa" w:w="100"/>
            </w:tcMar>
          </w:tcPr>
          <w:p>
            <w:pPr>
              <w:spacing w:after="0" w:line="250"/>
            </w:pPr>
            <w:r>
              <w:rPr>
                <w:b/>
                <w:bCs/>
                <w:color w:val="22303F"/>
                <w:sz w:val="18"/>
                <w:szCs w:val="18"/>
              </w:rPr>
              <w:t xml:space="preserve">Output</w:t>
            </w:r>
          </w:p>
        </w:tc>
        <w:tc>
          <w:tcPr>
            <w:tcW w:type="dxa" w:w="6626"/>
            <w:shd w:fill="EDF1F6" w:val="clear"/>
            <w:tcMar>
              <w:top w:type="dxa" w:w="70"/>
              <w:left w:type="dxa" w:w="100"/>
              <w:bottom w:type="dxa" w:w="70"/>
              <w:right w:type="dxa" w:w="100"/>
            </w:tcMar>
          </w:tcPr>
          <w:p>
            <w:pPr>
              <w:spacing w:after="0" w:line="250"/>
            </w:pPr>
            <w:r>
              <w:rPr>
                <w:b/>
                <w:bCs/>
                <w:color w:val="22303F"/>
                <w:sz w:val="18"/>
                <w:szCs w:val="18"/>
              </w:rPr>
              <w:t xml:space="preserve">For whom</w:t>
            </w:r>
          </w:p>
        </w:tc>
      </w:tr>
      <w:tr>
        <w:tc>
          <w:tcPr>
            <w:tcW w:type="dxa" w:w="2400"/>
            <w:tcMar>
              <w:top w:type="dxa" w:w="70"/>
              <w:left w:type="dxa" w:w="100"/>
              <w:bottom w:type="dxa" w:w="70"/>
              <w:right w:type="dxa" w:w="100"/>
            </w:tcMar>
          </w:tcPr>
          <w:p>
            <w:pPr>
              <w:spacing w:after="0" w:line="250"/>
            </w:pPr>
            <w:r>
              <w:rPr>
                <w:color w:val="1A1A1A"/>
                <w:sz w:val="19"/>
                <w:szCs w:val="19"/>
              </w:rPr>
              <w:t xml:space="preserve">outputs/lld/&lt;domain&gt;.md ×9</w:t>
            </w:r>
          </w:p>
        </w:tc>
        <w:tc>
          <w:tcPr>
            <w:tcW w:type="dxa" w:w="6626"/>
            <w:tcMar>
              <w:top w:type="dxa" w:w="70"/>
              <w:left w:type="dxa" w:w="100"/>
              <w:bottom w:type="dxa" w:w="70"/>
              <w:right w:type="dxa" w:w="100"/>
            </w:tcMar>
          </w:tcPr>
          <w:p>
            <w:pPr>
              <w:spacing w:after="0" w:line="250"/>
            </w:pPr>
            <w:r>
              <w:rPr>
                <w:color w:val="1A1A1A"/>
                <w:sz w:val="19"/>
                <w:szCs w:val="19"/>
              </w:rPr>
              <w:t xml:space="preserve">The engineer building it and the assessor testing it. Checklist across Prod/RTL/Dev-Test, further-questioning with owners, volumetric anchors per environment, cross-domain hooks, risks, control mapping.</w:t>
            </w:r>
          </w:p>
        </w:tc>
      </w:tr>
      <w:tr>
        <w:tc>
          <w:tcPr>
            <w:tcW w:type="dxa" w:w="2400"/>
            <w:tcMar>
              <w:top w:type="dxa" w:w="70"/>
              <w:left w:type="dxa" w:w="100"/>
              <w:bottom w:type="dxa" w:w="70"/>
              <w:right w:type="dxa" w:w="100"/>
            </w:tcMar>
          </w:tcPr>
          <w:p>
            <w:pPr>
              <w:spacing w:after="0" w:line="250"/>
            </w:pPr>
            <w:r>
              <w:rPr>
                <w:color w:val="1A1A1A"/>
                <w:sz w:val="19"/>
                <w:szCs w:val="19"/>
              </w:rPr>
              <w:t xml:space="preserve">outputs/hld.md</w:t>
            </w:r>
          </w:p>
        </w:tc>
        <w:tc>
          <w:tcPr>
            <w:tcW w:type="dxa" w:w="6626"/>
            <w:tcMar>
              <w:top w:type="dxa" w:w="70"/>
              <w:left w:type="dxa" w:w="100"/>
              <w:bottom w:type="dxa" w:w="70"/>
              <w:right w:type="dxa" w:w="100"/>
            </w:tcMar>
          </w:tcPr>
          <w:p>
            <w:pPr>
              <w:spacing w:after="0" w:line="250"/>
            </w:pPr>
            <w:r>
              <w:rPr>
                <w:color w:val="1A1A1A"/>
                <w:sz w:val="19"/>
                <w:szCs w:val="19"/>
              </w:rPr>
              <w:t xml:space="preserve">The architecture forum. Scope boundaries, generated end-to-end flow, connectivity and trust boundaries, per-domain summaries, the N×N reconciliation matrix, delivery shape.</w:t>
            </w:r>
          </w:p>
        </w:tc>
      </w:tr>
      <w:tr>
        <w:tc>
          <w:tcPr>
            <w:tcW w:type="dxa" w:w="2400"/>
            <w:tcMar>
              <w:top w:type="dxa" w:w="70"/>
              <w:left w:type="dxa" w:w="100"/>
              <w:bottom w:type="dxa" w:w="70"/>
              <w:right w:type="dxa" w:w="100"/>
            </w:tcMar>
          </w:tcPr>
          <w:p>
            <w:pPr>
              <w:spacing w:after="0" w:line="250"/>
            </w:pPr>
            <w:r>
              <w:rPr>
                <w:color w:val="1A1A1A"/>
                <w:sz w:val="19"/>
                <w:szCs w:val="19"/>
              </w:rPr>
              <w:t xml:space="preserve">outputs/exec-pack.md</w:t>
            </w:r>
          </w:p>
        </w:tc>
        <w:tc>
          <w:tcPr>
            <w:tcW w:type="dxa" w:w="6626"/>
            <w:tcMar>
              <w:top w:type="dxa" w:w="70"/>
              <w:left w:type="dxa" w:w="100"/>
              <w:bottom w:type="dxa" w:w="70"/>
              <w:right w:type="dxa" w:w="100"/>
            </w:tcMar>
          </w:tcPr>
          <w:p>
            <w:pPr>
              <w:spacing w:after="0" w:line="250"/>
            </w:pPr>
            <w:r>
              <w:rPr>
                <w:color w:val="1A1A1A"/>
                <w:sz w:val="19"/>
                <w:szCs w:val="19"/>
              </w:rPr>
              <w:t xml:space="preserve">The reader who will not open the HLD. What it delivers and why, where the effort sits, a banded roadmap, and risks grouped by the kind of problem they create — timeline, workarounds, legal and regulatory, and security exposures filtered up out of the low-level designs.</w:t>
            </w:r>
          </w:p>
        </w:tc>
      </w:tr>
      <w:tr>
        <w:tc>
          <w:tcPr>
            <w:tcW w:type="dxa" w:w="2400"/>
            <w:tcMar>
              <w:top w:type="dxa" w:w="70"/>
              <w:left w:type="dxa" w:w="100"/>
              <w:bottom w:type="dxa" w:w="70"/>
              <w:right w:type="dxa" w:w="100"/>
            </w:tcMar>
          </w:tcPr>
          <w:p>
            <w:pPr>
              <w:spacing w:after="0" w:line="250"/>
            </w:pPr>
            <w:r>
              <w:rPr>
                <w:color w:val="1A1A1A"/>
                <w:sz w:val="19"/>
                <w:szCs w:val="19"/>
              </w:rPr>
              <w:t xml:space="preserve">registers/</w:t>
            </w:r>
          </w:p>
        </w:tc>
        <w:tc>
          <w:tcPr>
            <w:tcW w:type="dxa" w:w="6626"/>
            <w:tcMar>
              <w:top w:type="dxa" w:w="70"/>
              <w:left w:type="dxa" w:w="100"/>
              <w:bottom w:type="dxa" w:w="70"/>
              <w:right w:type="dxa" w:w="100"/>
            </w:tcMar>
          </w:tcPr>
          <w:p>
            <w:pPr>
              <w:spacing w:after="0" w:line="250"/>
            </w:pPr>
            <w:r>
              <w:rPr>
                <w:color w:val="1A1A1A"/>
                <w:sz w:val="19"/>
                <w:szCs w:val="19"/>
              </w:rPr>
              <w:t xml:space="preserve">The dual ledger — decisions and the evidence behind them — plus risk and question backlogs as CSV.</w:t>
            </w:r>
          </w:p>
        </w:tc>
      </w:tr>
      <w:tr>
        <w:tc>
          <w:tcPr>
            <w:tcW w:type="dxa" w:w="2400"/>
            <w:tcMar>
              <w:top w:type="dxa" w:w="70"/>
              <w:left w:type="dxa" w:w="100"/>
              <w:bottom w:type="dxa" w:w="70"/>
              <w:right w:type="dxa" w:w="100"/>
            </w:tcMar>
          </w:tcPr>
          <w:p>
            <w:pPr>
              <w:spacing w:after="0" w:line="250"/>
            </w:pPr>
            <w:r>
              <w:rPr>
                <w:color w:val="1A1A1A"/>
                <w:sz w:val="19"/>
                <w:szCs w:val="19"/>
              </w:rPr>
              <w:t xml:space="preserve">index.html</w:t>
            </w:r>
          </w:p>
        </w:tc>
        <w:tc>
          <w:tcPr>
            <w:tcW w:type="dxa" w:w="6626"/>
            <w:tcMar>
              <w:top w:type="dxa" w:w="70"/>
              <w:left w:type="dxa" w:w="100"/>
              <w:bottom w:type="dxa" w:w="70"/>
              <w:right w:type="dxa" w:w="100"/>
            </w:tcMar>
          </w:tcPr>
          <w:p>
            <w:pPr>
              <w:spacing w:after="0" w:line="250"/>
            </w:pPr>
            <w:r>
              <w:rPr>
                <w:color w:val="1A1A1A"/>
                <w:sz w:val="19"/>
                <w:szCs w:val="19"/>
              </w:rPr>
              <w:t xml:space="preserve">A self-contained dashboard holding all of the above. No network requests; send it as a file.</w:t>
            </w:r>
          </w:p>
        </w:tc>
      </w:tr>
    </w:tbl>
    <w:p>
      <w:pPr>
        <w:pStyle w:val="Heading2"/>
        <w:spacing w:after="120" w:before="280"/>
      </w:pPr>
      <w:r>
        <w:rPr>
          <w:b/>
          <w:bCs/>
          <w:color w:val="1F4E79"/>
          <w:sz w:val="24"/>
          <w:szCs w:val="24"/>
        </w:rPr>
        <w:t xml:space="preserve">1.2 The team — what changes</w:t>
      </w:r>
    </w:p>
    <w:p>
      <w:pPr>
        <w:spacing w:after="140" w:line="276"/>
      </w:pPr>
      <w:r>
        <w:rPr>
          <w:color w:val="1A1A1A"/>
          <w:sz w:val="21"/>
          <w:szCs w:val="21"/>
        </w:rPr>
        <w:t xml:space="preserve">Above the engine sits an organisation of agents: SME depth that can be rationalised and sense-checked against other SMEs' knowledge, with an orchestration layer whose job is to stop anybody assuming anything they were not told.</w:t>
      </w:r>
    </w:p>
    <w:p>
      <w:pPr>
        <w:shd w:fill="F4F6F9" w:val="clear"/>
        <w:spacing w:after="0" w:line="240"/>
        <w:ind w:left="170" w:right="170"/>
      </w:pPr>
      <w:r>
        <w:rPr>
          <w:rFonts w:ascii="Consolas" w:cs="Consolas" w:eastAsia="Consolas" w:hAnsi="Consolas"/>
          <w:color w:val="22303F"/>
          <w:sz w:val="18"/>
          <w:szCs w:val="18"/>
        </w:rPr>
        <w:t xml:space="preserve">                    master-architect                 tier 0   evaluates, reconciles, grades</w:t>
      </w:r>
    </w:p>
    <w:p>
      <w:pPr>
        <w:shd w:fill="F4F6F9" w:val="clear"/>
        <w:spacing w:after="0" w:line="240"/>
        <w:ind w:left="170" w:right="170"/>
      </w:pPr>
      <w:r>
        <w:rPr>
          <w:rFonts w:ascii="Consolas" w:cs="Consolas" w:eastAsia="Consolas" w:hAnsi="Consolas"/>
          <w:color w:val="22303F"/>
          <w:sz w:val="18"/>
          <w:szCs w:val="18"/>
        </w:rPr>
        <w:t xml:space="preserve">                           |</w:t>
      </w:r>
    </w:p>
    <w:p>
      <w:pPr>
        <w:shd w:fill="F4F6F9" w:val="clear"/>
        <w:spacing w:after="0" w:line="240"/>
        <w:ind w:left="170" w:right="170"/>
      </w:pPr>
      <w:r>
        <w:rPr>
          <w:rFonts w:ascii="Consolas" w:cs="Consolas" w:eastAsia="Consolas" w:hAnsi="Consolas"/>
          <w:color w:val="22303F"/>
          <w:sz w:val="18"/>
          <w:szCs w:val="18"/>
        </w:rPr>
        <w:t xml:space="preserve">      +--------------------+--------------------+</w:t>
      </w:r>
    </w:p>
    <w:p>
      <w:pPr>
        <w:shd w:fill="F4F6F9" w:val="clear"/>
        <w:spacing w:after="0" w:line="240"/>
        <w:ind w:left="170" w:right="170"/>
      </w:pPr>
      <w:r>
        <w:rPr>
          <w:rFonts w:ascii="Consolas" w:cs="Consolas" w:eastAsia="Consolas" w:hAnsi="Consolas"/>
          <w:color w:val="22303F"/>
          <w:sz w:val="18"/>
          <w:szCs w:val="18"/>
        </w:rPr>
        <w:t xml:space="preserve">      |                    |                    |</w:t>
      </w:r>
    </w:p>
    <w:p>
      <w:pPr>
        <w:shd w:fill="F4F6F9" w:val="clear"/>
        <w:spacing w:after="0" w:line="240"/>
        <w:ind w:left="170" w:right="170"/>
      </w:pPr>
      <w:r>
        <w:rPr>
          <w:rFonts w:ascii="Consolas" w:cs="Consolas" w:eastAsia="Consolas" w:hAnsi="Consolas"/>
          <w:color w:val="22303F"/>
          <w:sz w:val="18"/>
          <w:szCs w:val="18"/>
        </w:rPr>
        <w:t xml:space="preserve">architect-grc        architect-iam        architect-secops ...  tier 1  x12</w:t>
      </w:r>
    </w:p>
    <w:p>
      <w:pPr>
        <w:shd w:fill="F4F6F9" w:val="clear"/>
        <w:spacing w:after="0" w:line="240"/>
        <w:ind w:left="170" w:right="170"/>
      </w:pPr>
      <w:r>
        <w:rPr>
          <w:rFonts w:ascii="Consolas" w:cs="Consolas" w:eastAsia="Consolas" w:hAnsi="Consolas"/>
          <w:color w:val="22303F"/>
          <w:sz w:val="18"/>
          <w:szCs w:val="18"/>
        </w:rPr>
        <w:t xml:space="preserve">      |                    |                    |</w:t>
      </w:r>
    </w:p>
    <w:p>
      <w:pPr>
        <w:shd w:fill="F4F6F9" w:val="clear"/>
        <w:spacing w:after="0" w:line="240"/>
        <w:ind w:left="170" w:right="170"/>
      </w:pPr>
      <w:r>
        <w:rPr>
          <w:rFonts w:ascii="Consolas" w:cs="Consolas" w:eastAsia="Consolas" w:hAnsi="Consolas"/>
          <w:color w:val="22303F"/>
          <w:sz w:val="18"/>
          <w:szCs w:val="18"/>
        </w:rPr>
        <w:t xml:space="preserve"> +----+----+          +----+----+          +----+----+</w:t>
      </w:r>
    </w:p>
    <w:p>
      <w:pPr>
        <w:shd w:fill="F4F6F9" w:val="clear"/>
        <w:spacing w:after="160" w:line="240"/>
        <w:ind w:left="170" w:right="170"/>
      </w:pPr>
      <w:r>
        <w:rPr>
          <w:rFonts w:ascii="Consolas" w:cs="Consolas" w:eastAsia="Consolas" w:hAnsi="Consolas"/>
          <w:color w:val="22303F"/>
          <w:sz w:val="18"/>
          <w:szCs w:val="18"/>
        </w:rPr>
        <w:t xml:space="preserve">sme-...  sme-...    sme-...  sme-...    sme-...  sme-...        tier 2  x67</w:t>
      </w:r>
    </w:p>
    <w:p>
      <w:pPr>
        <w:spacing w:after="140" w:line="276"/>
      </w:pPr>
      <w:r>
        <w:rPr>
          <w:i/>
          <w:iCs/>
          <w:color w:val="5B6572"/>
          <w:sz w:val="21"/>
          <w:szCs w:val="21"/>
        </w:rPr>
        <w:t xml:space="preserve">The division is the point: the engine holds durable patterns in a catalogue, the SMEs hold the depth and the facts that change with a product release or a supervisory statement.</w:t>
      </w:r>
    </w:p>
    <w:p>
      <w:pPr>
        <w:pStyle w:val="Heading1"/>
        <w:spacing w:after="160" w:before="360"/>
      </w:pPr>
      <w:r>
        <w:rPr>
          <w:b/>
          <w:bCs/>
          <w:color w:val="1F4E79"/>
          <w:sz w:val="30"/>
          <w:szCs w:val="30"/>
        </w:rPr>
        <w:t xml:space="preserve">2. Setup</w:t>
      </w:r>
    </w:p>
    <w:p>
      <w:pPr>
        <w:pStyle w:val="Heading2"/>
        <w:spacing w:after="120" w:before="280"/>
      </w:pPr>
      <w:r>
        <w:rPr>
          <w:b/>
          <w:bCs/>
          <w:color w:val="1F4E79"/>
          <w:sz w:val="24"/>
          <w:szCs w:val="24"/>
        </w:rPr>
        <w:t xml:space="preserve">2.1 Prerequisites</w:t>
      </w:r>
    </w:p>
    <w:p>
      <w:pPr>
        <w:spacing w:after="140" w:line="276"/>
      </w:pPr>
      <w:r>
        <w:rPr>
          <w:color w:val="1A1A1A"/>
          <w:sz w:val="21"/>
          <w:szCs w:val="21"/>
        </w:rPr>
        <w:t xml:space="preserve">Python 3.9 or later. Nothing else. No pip install, no build step, no network access required at runtime — the framework has to run behind a corporate proxy on a locked-down laptop, and the generated dashboard makes no external requests.</w:t>
      </w:r>
    </w:p>
    <w:p>
      <w:pPr>
        <w:pStyle w:val="Heading2"/>
        <w:spacing w:after="120" w:before="280"/>
      </w:pPr>
      <w:r>
        <w:rPr>
          <w:b/>
          <w:bCs/>
          <w:color w:val="1F4E79"/>
          <w:sz w:val="24"/>
          <w:szCs w:val="24"/>
        </w:rPr>
        <w:t xml:space="preserve">2.2 Install and verify</w:t>
      </w:r>
    </w:p>
    <w:p>
      <w:pPr>
        <w:shd w:fill="F4F6F9" w:val="clear"/>
        <w:spacing w:after="0" w:line="240"/>
        <w:ind w:left="170" w:right="170"/>
      </w:pPr>
      <w:r>
        <w:rPr>
          <w:rFonts w:ascii="Consolas" w:cs="Consolas" w:eastAsia="Consolas" w:hAnsi="Consolas"/>
          <w:color w:val="22303F"/>
          <w:sz w:val="18"/>
          <w:szCs w:val="18"/>
        </w:rPr>
        <w:t xml:space="preserve">git clone &lt;repo&gt; &amp;&amp; cd Enterprise-Architect-Strategy-framework</w:t>
      </w:r>
    </w:p>
    <w:p>
      <w:pPr>
        <w:shd w:fill="F4F6F9" w:val="clear"/>
        <w:spacing w:after="0" w:line="240"/>
        <w:ind w:left="170" w:right="170"/>
      </w:pPr>
      <w:r>
        <w:rPr>
          <w:rFonts w:ascii="Consolas" w:cs="Consolas" w:eastAsia="Consolas" w:hAnsi="Consolas"/>
          <w:color w:val="22303F"/>
          <w:sz w:val="18"/>
          <w:szCs w:val="18"/>
        </w:rPr>
        <w:t xml:space="preserve">git checkout claude/enterprise-architect-strategy-app-8vp6mr</w:t>
      </w:r>
    </w:p>
    <w:p>
      <w:pPr>
        <w:shd w:fill="F4F6F9" w:val="clear"/>
        <w:spacing w:after="0" w:line="240"/>
        <w:ind w:left="170" w:right="170"/>
      </w:pPr>
      <w:r>
        <w:rPr>
          <w:rFonts w:ascii="Consolas" w:cs="Consolas" w:eastAsia="Consolas" w:hAnsi="Consolas"/>
          <w:color w:val="22303F"/>
          <w:sz w:val="18"/>
          <w:szCs w:val="18"/>
        </w:rPr>
        <w:t xml:space="preserve"> </w:t>
      </w:r>
    </w:p>
    <w:p>
      <w:pPr>
        <w:shd w:fill="F4F6F9" w:val="clear"/>
        <w:spacing w:after="0" w:line="240"/>
        <w:ind w:left="170" w:right="170"/>
      </w:pPr>
      <w:r>
        <w:rPr>
          <w:rFonts w:ascii="Consolas" w:cs="Consolas" w:eastAsia="Consolas" w:hAnsi="Consolas"/>
          <w:color w:val="22303F"/>
          <w:sz w:val="18"/>
          <w:szCs w:val="18"/>
        </w:rPr>
        <w:t xml:space="preserve">python3 -m eas lint                    # the catalogue must be coherent</w:t>
      </w:r>
    </w:p>
    <w:p>
      <w:pPr>
        <w:shd w:fill="F4F6F9" w:val="clear"/>
        <w:spacing w:after="0" w:line="240"/>
        <w:ind w:left="170" w:right="170"/>
      </w:pPr>
      <w:r>
        <w:rPr>
          <w:rFonts w:ascii="Consolas" w:cs="Consolas" w:eastAsia="Consolas" w:hAnsi="Consolas"/>
          <w:color w:val="22303F"/>
          <w:sz w:val="18"/>
          <w:szCs w:val="18"/>
        </w:rPr>
        <w:t xml:space="preserve">python3 -m unittest discover tests     # 61 tests</w:t>
      </w:r>
    </w:p>
    <w:p>
      <w:pPr>
        <w:shd w:fill="F4F6F9" w:val="clear"/>
        <w:spacing w:after="160" w:line="240"/>
        <w:ind w:left="170" w:right="170"/>
      </w:pPr>
      <w:r>
        <w:rPr>
          <w:rFonts w:ascii="Consolas" w:cs="Consolas" w:eastAsia="Consolas" w:hAnsi="Consolas"/>
          <w:color w:val="22303F"/>
          <w:sz w:val="18"/>
          <w:szCs w:val="18"/>
        </w:rPr>
        <w:t xml:space="preserve">python3 -m eas catalogue               # every domain and option</w:t>
      </w:r>
    </w:p>
    <w:p>
      <w:pPr>
        <w:pBdr>
          <w:left w:val="single" w:color="C8912B" w:sz="18"/>
        </w:pBdr>
        <w:shd w:fill="FBF7EC" w:val="clear"/>
        <w:spacing w:after="160" w:before="100" w:line="276"/>
        <w:ind w:left="170" w:right="170"/>
      </w:pPr>
      <w:r>
        <w:rPr>
          <w:color w:val="4A3A16"/>
          <w:sz w:val="20"/>
          <w:szCs w:val="20"/>
        </w:rPr>
        <w:t xml:space="preserve">`eas lint` is not a formality. It refuses a catalogue where an option requires a capability nothing provides — an unsatisfiable requirement is a catalogue bug that would otherwise surface as an unfixable run finding.</w:t>
      </w:r>
    </w:p>
    <w:p>
      <w:pPr>
        <w:pStyle w:val="Heading2"/>
        <w:spacing w:after="120" w:before="280"/>
      </w:pPr>
      <w:r>
        <w:rPr>
          <w:b/>
          <w:bCs/>
          <w:color w:val="1F4E79"/>
          <w:sz w:val="24"/>
          <w:szCs w:val="24"/>
        </w:rPr>
        <w:t xml:space="preserve">2.3 Repository layout</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2400"/>
        <w:gridCol w:w="6626"/>
      </w:tblGrid>
      <w:tr>
        <w:trPr>
          <w:tblHeader/>
        </w:trPr>
        <w:tc>
          <w:tcPr>
            <w:tcW w:type="dxa" w:w="2400"/>
            <w:shd w:fill="EDF1F6" w:val="clear"/>
            <w:tcMar>
              <w:top w:type="dxa" w:w="70"/>
              <w:left w:type="dxa" w:w="100"/>
              <w:bottom w:type="dxa" w:w="70"/>
              <w:right w:type="dxa" w:w="100"/>
            </w:tcMar>
          </w:tcPr>
          <w:p>
            <w:pPr>
              <w:spacing w:after="0" w:line="250"/>
            </w:pPr>
            <w:r>
              <w:rPr>
                <w:b/>
                <w:bCs/>
                <w:color w:val="22303F"/>
                <w:sz w:val="18"/>
                <w:szCs w:val="18"/>
              </w:rPr>
              <w:t xml:space="preserve">Path</w:t>
            </w:r>
          </w:p>
        </w:tc>
        <w:tc>
          <w:tcPr>
            <w:tcW w:type="dxa" w:w="6626"/>
            <w:shd w:fill="EDF1F6" w:val="clear"/>
            <w:tcMar>
              <w:top w:type="dxa" w:w="70"/>
              <w:left w:type="dxa" w:w="100"/>
              <w:bottom w:type="dxa" w:w="70"/>
              <w:right w:type="dxa" w:w="100"/>
            </w:tcMar>
          </w:tcPr>
          <w:p>
            <w:pPr>
              <w:spacing w:after="0" w:line="250"/>
            </w:pPr>
            <w:r>
              <w:rPr>
                <w:b/>
                <w:bCs/>
                <w:color w:val="22303F"/>
                <w:sz w:val="18"/>
                <w:szCs w:val="18"/>
              </w:rPr>
              <w:t xml:space="preserve">Holds</w:t>
            </w:r>
          </w:p>
        </w:tc>
      </w:tr>
      <w:tr>
        <w:tc>
          <w:tcPr>
            <w:tcW w:type="dxa" w:w="2400"/>
            <w:tcMar>
              <w:top w:type="dxa" w:w="70"/>
              <w:left w:type="dxa" w:w="100"/>
              <w:bottom w:type="dxa" w:w="70"/>
              <w:right w:type="dxa" w:w="100"/>
            </w:tcMar>
          </w:tcPr>
          <w:p>
            <w:pPr>
              <w:spacing w:after="0" w:line="250"/>
            </w:pPr>
            <w:r>
              <w:rPr>
                <w:color w:val="1A1A1A"/>
                <w:sz w:val="19"/>
                <w:szCs w:val="19"/>
              </w:rPr>
              <w:t xml:space="preserve">catalogue/</w:t>
            </w:r>
          </w:p>
        </w:tc>
        <w:tc>
          <w:tcPr>
            <w:tcW w:type="dxa" w:w="6626"/>
            <w:tcMar>
              <w:top w:type="dxa" w:w="70"/>
              <w:left w:type="dxa" w:w="100"/>
              <w:bottom w:type="dxa" w:w="70"/>
              <w:right w:type="dxa" w:w="100"/>
            </w:tcMar>
          </w:tcPr>
          <w:p>
            <w:pPr>
              <w:spacing w:after="0" w:line="250"/>
            </w:pPr>
            <w:r>
              <w:rPr>
                <w:color w:val="1A1A1A"/>
                <w:sz w:val="19"/>
                <w:szCs w:val="19"/>
              </w:rPr>
              <w:t xml:space="preserve">The framework's content as data — domains, the shared capability vocabulary, options per domain, cross-domain rules, intake signals, benefits.</w:t>
            </w:r>
          </w:p>
        </w:tc>
      </w:tr>
      <w:tr>
        <w:tc>
          <w:tcPr>
            <w:tcW w:type="dxa" w:w="2400"/>
            <w:tcMar>
              <w:top w:type="dxa" w:w="70"/>
              <w:left w:type="dxa" w:w="100"/>
              <w:bottom w:type="dxa" w:w="70"/>
              <w:right w:type="dxa" w:w="100"/>
            </w:tcMar>
          </w:tcPr>
          <w:p>
            <w:pPr>
              <w:spacing w:after="0" w:line="250"/>
            </w:pPr>
            <w:r>
              <w:rPr>
                <w:color w:val="1A1A1A"/>
                <w:sz w:val="19"/>
                <w:szCs w:val="19"/>
              </w:rPr>
              <w:t xml:space="preserve">catalogue/org/</w:t>
            </w:r>
          </w:p>
        </w:tc>
        <w:tc>
          <w:tcPr>
            <w:tcW w:type="dxa" w:w="6626"/>
            <w:tcMar>
              <w:top w:type="dxa" w:w="70"/>
              <w:left w:type="dxa" w:w="100"/>
              <w:bottom w:type="dxa" w:w="70"/>
              <w:right w:type="dxa" w:w="100"/>
            </w:tcMar>
          </w:tcPr>
          <w:p>
            <w:pPr>
              <w:spacing w:after="0" w:line="250"/>
            </w:pPr>
            <w:r>
              <w:rPr>
                <w:color w:val="1A1A1A"/>
                <w:sz w:val="19"/>
                <w:szCs w:val="19"/>
              </w:rPr>
              <w:t xml:space="preserve">The org chart — hierarchy and protocols, plus 67 SME knowledge bases, one file per domain.</w:t>
            </w:r>
          </w:p>
        </w:tc>
      </w:tr>
      <w:tr>
        <w:tc>
          <w:tcPr>
            <w:tcW w:type="dxa" w:w="2400"/>
            <w:tcMar>
              <w:top w:type="dxa" w:w="70"/>
              <w:left w:type="dxa" w:w="100"/>
              <w:bottom w:type="dxa" w:w="70"/>
              <w:right w:type="dxa" w:w="100"/>
            </w:tcMar>
          </w:tcPr>
          <w:p>
            <w:pPr>
              <w:spacing w:after="0" w:line="250"/>
            </w:pPr>
            <w:r>
              <w:rPr>
                <w:color w:val="1A1A1A"/>
                <w:sz w:val="19"/>
                <w:szCs w:val="19"/>
              </w:rPr>
              <w:t xml:space="preserve">eas/</w:t>
            </w:r>
          </w:p>
        </w:tc>
        <w:tc>
          <w:tcPr>
            <w:tcW w:type="dxa" w:w="6626"/>
            <w:tcMar>
              <w:top w:type="dxa" w:w="70"/>
              <w:left w:type="dxa" w:w="100"/>
              <w:bottom w:type="dxa" w:w="70"/>
              <w:right w:type="dxa" w:w="100"/>
            </w:tcMar>
          </w:tcPr>
          <w:p>
            <w:pPr>
              <w:spacing w:after="0" w:line="250"/>
            </w:pPr>
            <w:r>
              <w:rPr>
                <w:color w:val="1A1A1A"/>
                <w:sz w:val="19"/>
                <w:szCs w:val="19"/>
              </w:rPr>
              <w:t xml:space="preserve">The engine — intake, selector, orchestrator, roadmap, renderers, CLI, web server.</w:t>
            </w:r>
          </w:p>
        </w:tc>
      </w:tr>
      <w:tr>
        <w:tc>
          <w:tcPr>
            <w:tcW w:type="dxa" w:w="2400"/>
            <w:tcMar>
              <w:top w:type="dxa" w:w="70"/>
              <w:left w:type="dxa" w:w="100"/>
              <w:bottom w:type="dxa" w:w="70"/>
              <w:right w:type="dxa" w:w="100"/>
            </w:tcMar>
          </w:tcPr>
          <w:p>
            <w:pPr>
              <w:spacing w:after="0" w:line="250"/>
            </w:pPr>
            <w:r>
              <w:rPr>
                <w:color w:val="1A1A1A"/>
                <w:sz w:val="19"/>
                <w:szCs w:val="19"/>
              </w:rPr>
              <w:t xml:space="preserve">.claude/agents/</w:t>
            </w:r>
          </w:p>
        </w:tc>
        <w:tc>
          <w:tcPr>
            <w:tcW w:type="dxa" w:w="6626"/>
            <w:tcMar>
              <w:top w:type="dxa" w:w="70"/>
              <w:left w:type="dxa" w:w="100"/>
              <w:bottom w:type="dxa" w:w="70"/>
              <w:right w:type="dxa" w:w="100"/>
            </w:tcMar>
          </w:tcPr>
          <w:p>
            <w:pPr>
              <w:spacing w:after="0" w:line="250"/>
            </w:pPr>
            <w:r>
              <w:rPr>
                <w:color w:val="1A1A1A"/>
                <w:sz w:val="19"/>
                <w:szCs w:val="19"/>
              </w:rPr>
              <w:t xml:space="preserve">80 generated agents. Do not edit; edit catalogue/org/ and regenerate.</w:t>
            </w:r>
          </w:p>
        </w:tc>
      </w:tr>
      <w:tr>
        <w:tc>
          <w:tcPr>
            <w:tcW w:type="dxa" w:w="2400"/>
            <w:tcMar>
              <w:top w:type="dxa" w:w="70"/>
              <w:left w:type="dxa" w:w="100"/>
              <w:bottom w:type="dxa" w:w="70"/>
              <w:right w:type="dxa" w:w="100"/>
            </w:tcMar>
          </w:tcPr>
          <w:p>
            <w:pPr>
              <w:spacing w:after="0" w:line="250"/>
            </w:pPr>
            <w:r>
              <w:rPr>
                <w:color w:val="1A1A1A"/>
                <w:sz w:val="19"/>
                <w:szCs w:val="19"/>
              </w:rPr>
              <w:t xml:space="preserve">.claude/skills/</w:t>
            </w:r>
          </w:p>
        </w:tc>
        <w:tc>
          <w:tcPr>
            <w:tcW w:type="dxa" w:w="6626"/>
            <w:tcMar>
              <w:top w:type="dxa" w:w="70"/>
              <w:left w:type="dxa" w:w="100"/>
              <w:bottom w:type="dxa" w:w="70"/>
              <w:right w:type="dxa" w:w="100"/>
            </w:tcMar>
          </w:tcPr>
          <w:p>
            <w:pPr>
              <w:spacing w:after="0" w:line="250"/>
            </w:pPr>
            <w:r>
              <w:rPr>
                <w:color w:val="1A1A1A"/>
                <w:sz w:val="19"/>
                <w:szCs w:val="19"/>
              </w:rPr>
              <w:t xml:space="preserve">Twelve skills. The nine validators are generated from the catalogue.</w:t>
            </w:r>
          </w:p>
        </w:tc>
      </w:tr>
      <w:tr>
        <w:tc>
          <w:tcPr>
            <w:tcW w:type="dxa" w:w="2400"/>
            <w:tcMar>
              <w:top w:type="dxa" w:w="70"/>
              <w:left w:type="dxa" w:w="100"/>
              <w:bottom w:type="dxa" w:w="70"/>
              <w:right w:type="dxa" w:w="100"/>
            </w:tcMar>
          </w:tcPr>
          <w:p>
            <w:pPr>
              <w:spacing w:after="0" w:line="250"/>
            </w:pPr>
            <w:r>
              <w:rPr>
                <w:color w:val="1A1A1A"/>
                <w:sz w:val="19"/>
                <w:szCs w:val="19"/>
              </w:rPr>
              <w:t xml:space="preserve">briefs/</w:t>
            </w:r>
          </w:p>
        </w:tc>
        <w:tc>
          <w:tcPr>
            <w:tcW w:type="dxa" w:w="6626"/>
            <w:tcMar>
              <w:top w:type="dxa" w:w="70"/>
              <w:left w:type="dxa" w:w="100"/>
              <w:bottom w:type="dxa" w:w="70"/>
              <w:right w:type="dxa" w:w="100"/>
            </w:tcMar>
          </w:tcPr>
          <w:p>
            <w:pPr>
              <w:spacing w:after="0" w:line="250"/>
            </w:pPr>
            <w:r>
              <w:rPr>
                <w:color w:val="1A1A1A"/>
                <w:sz w:val="19"/>
                <w:szCs w:val="19"/>
              </w:rPr>
              <w:t xml:space="preserve">Worked example briefs, simple through strategic.</w:t>
            </w:r>
          </w:p>
        </w:tc>
      </w:tr>
      <w:tr>
        <w:tc>
          <w:tcPr>
            <w:tcW w:type="dxa" w:w="2400"/>
            <w:tcMar>
              <w:top w:type="dxa" w:w="70"/>
              <w:left w:type="dxa" w:w="100"/>
              <w:bottom w:type="dxa" w:w="70"/>
              <w:right w:type="dxa" w:w="100"/>
            </w:tcMar>
          </w:tcPr>
          <w:p>
            <w:pPr>
              <w:spacing w:after="0" w:line="250"/>
            </w:pPr>
            <w:r>
              <w:rPr>
                <w:color w:val="1A1A1A"/>
                <w:sz w:val="19"/>
                <w:szCs w:val="19"/>
              </w:rPr>
              <w:t xml:space="preserve">projects/</w:t>
            </w:r>
          </w:p>
        </w:tc>
        <w:tc>
          <w:tcPr>
            <w:tcW w:type="dxa" w:w="6626"/>
            <w:tcMar>
              <w:top w:type="dxa" w:w="70"/>
              <w:left w:type="dxa" w:w="100"/>
              <w:bottom w:type="dxa" w:w="70"/>
              <w:right w:type="dxa" w:w="100"/>
            </w:tcMar>
          </w:tcPr>
          <w:p>
            <w:pPr>
              <w:spacing w:after="0" w:line="250"/>
            </w:pPr>
            <w:r>
              <w:rPr>
                <w:color w:val="1A1A1A"/>
                <w:sz w:val="19"/>
                <w:szCs w:val="19"/>
              </w:rPr>
              <w:t xml:space="preserve">One isolated directory per assessment. Git-ignored.</w:t>
            </w:r>
          </w:p>
        </w:tc>
      </w:tr>
      <w:tr>
        <w:tc>
          <w:tcPr>
            <w:tcW w:type="dxa" w:w="2400"/>
            <w:tcMar>
              <w:top w:type="dxa" w:w="70"/>
              <w:left w:type="dxa" w:w="100"/>
              <w:bottom w:type="dxa" w:w="70"/>
              <w:right w:type="dxa" w:w="100"/>
            </w:tcMar>
          </w:tcPr>
          <w:p>
            <w:pPr>
              <w:spacing w:after="0" w:line="250"/>
            </w:pPr>
            <w:r>
              <w:rPr>
                <w:color w:val="1A1A1A"/>
                <w:sz w:val="19"/>
                <w:szCs w:val="19"/>
              </w:rPr>
              <w:t xml:space="preserve">tools/</w:t>
            </w:r>
          </w:p>
        </w:tc>
        <w:tc>
          <w:tcPr>
            <w:tcW w:type="dxa" w:w="6626"/>
            <w:tcMar>
              <w:top w:type="dxa" w:w="70"/>
              <w:left w:type="dxa" w:w="100"/>
              <w:bottom w:type="dxa" w:w="70"/>
              <w:right w:type="dxa" w:w="100"/>
            </w:tcMar>
          </w:tcPr>
          <w:p>
            <w:pPr>
              <w:spacing w:after="0" w:line="250"/>
            </w:pPr>
            <w:r>
              <w:rPr>
                <w:color w:val="1A1A1A"/>
                <w:sz w:val="19"/>
                <w:szCs w:val="19"/>
              </w:rPr>
              <w:t xml:space="preserve">gen_skills.py and gen_agents.py — the generators.</w:t>
            </w:r>
          </w:p>
        </w:tc>
      </w:tr>
    </w:tbl>
    <w:p>
      <w:pPr>
        <w:pStyle w:val="Heading2"/>
        <w:spacing w:after="120" w:before="280"/>
      </w:pPr>
      <w:r>
        <w:rPr>
          <w:b/>
          <w:bCs/>
          <w:color w:val="1F4E79"/>
          <w:sz w:val="24"/>
          <w:szCs w:val="24"/>
        </w:rPr>
        <w:t xml:space="preserve">2.4 Commands</w:t>
      </w:r>
    </w:p>
    <w:p>
      <w:pPr>
        <w:shd w:fill="F4F6F9" w:val="clear"/>
        <w:spacing w:after="0" w:line="240"/>
        <w:ind w:left="170" w:right="170"/>
      </w:pPr>
      <w:r>
        <w:rPr>
          <w:rFonts w:ascii="Consolas" w:cs="Consolas" w:eastAsia="Consolas" w:hAnsi="Consolas"/>
          <w:color w:val="22303F"/>
          <w:sz w:val="18"/>
          <w:szCs w:val="18"/>
        </w:rPr>
        <w:t xml:space="preserve"># Create an isolated project from a brief and run it</w:t>
      </w:r>
    </w:p>
    <w:p>
      <w:pPr>
        <w:shd w:fill="F4F6F9" w:val="clear"/>
        <w:spacing w:after="0" w:line="240"/>
        <w:ind w:left="170" w:right="170"/>
      </w:pPr>
      <w:r>
        <w:rPr>
          <w:rFonts w:ascii="Consolas" w:cs="Consolas" w:eastAsia="Consolas" w:hAnsi="Consolas"/>
          <w:color w:val="22303F"/>
          <w:sz w:val="18"/>
          <w:szCs w:val="18"/>
        </w:rPr>
        <w:t xml:space="preserve">python3 -m eas new --brief briefs/example-sase-migration.md</w:t>
      </w:r>
    </w:p>
    <w:p>
      <w:pPr>
        <w:shd w:fill="F4F6F9" w:val="clear"/>
        <w:spacing w:after="0" w:line="240"/>
        <w:ind w:left="170" w:right="170"/>
      </w:pPr>
      <w:r>
        <w:rPr>
          <w:rFonts w:ascii="Consolas" w:cs="Consolas" w:eastAsia="Consolas" w:hAnsi="Consolas"/>
          <w:color w:val="22303F"/>
          <w:sz w:val="18"/>
          <w:szCs w:val="18"/>
        </w:rPr>
        <w:t xml:space="preserve">python3 -m eas new --text "..."          # inline</w:t>
      </w:r>
    </w:p>
    <w:p>
      <w:pPr>
        <w:shd w:fill="F4F6F9" w:val="clear"/>
        <w:spacing w:after="0" w:line="240"/>
        <w:ind w:left="170" w:right="170"/>
      </w:pPr>
      <w:r>
        <w:rPr>
          <w:rFonts w:ascii="Consolas" w:cs="Consolas" w:eastAsia="Consolas" w:hAnsi="Consolas"/>
          <w:color w:val="22303F"/>
          <w:sz w:val="18"/>
          <w:szCs w:val="18"/>
        </w:rPr>
        <w:t xml:space="preserve">cat brief.md | python3 -m eas new         # stdin</w:t>
      </w:r>
    </w:p>
    <w:p>
      <w:pPr>
        <w:shd w:fill="F4F6F9" w:val="clear"/>
        <w:spacing w:after="0" w:line="240"/>
        <w:ind w:left="170" w:right="170"/>
      </w:pPr>
      <w:r>
        <w:rPr>
          <w:rFonts w:ascii="Consolas" w:cs="Consolas" w:eastAsia="Consolas" w:hAnsi="Consolas"/>
          <w:color w:val="22303F"/>
          <w:sz w:val="18"/>
          <w:szCs w:val="18"/>
        </w:rPr>
        <w:t xml:space="preserve"> </w:t>
      </w:r>
    </w:p>
    <w:p>
      <w:pPr>
        <w:shd w:fill="F4F6F9" w:val="clear"/>
        <w:spacing w:after="0" w:line="240"/>
        <w:ind w:left="170" w:right="170"/>
      </w:pPr>
      <w:r>
        <w:rPr>
          <w:rFonts w:ascii="Consolas" w:cs="Consolas" w:eastAsia="Consolas" w:hAnsi="Consolas"/>
          <w:color w:val="22303F"/>
          <w:sz w:val="18"/>
          <w:szCs w:val="18"/>
        </w:rPr>
        <w:t xml:space="preserve"># Work the project as answers land</w:t>
      </w:r>
    </w:p>
    <w:p>
      <w:pPr>
        <w:shd w:fill="F4F6F9" w:val="clear"/>
        <w:spacing w:after="0" w:line="240"/>
        <w:ind w:left="170" w:right="170"/>
      </w:pPr>
      <w:r>
        <w:rPr>
          <w:rFonts w:ascii="Consolas" w:cs="Consolas" w:eastAsia="Consolas" w:hAnsi="Consolas"/>
          <w:color w:val="22303F"/>
          <w:sz w:val="18"/>
          <w:szCs w:val="18"/>
        </w:rPr>
        <w:t xml:space="preserve">python3 -m eas list</w:t>
      </w:r>
    </w:p>
    <w:p>
      <w:pPr>
        <w:shd w:fill="F4F6F9" w:val="clear"/>
        <w:spacing w:after="0" w:line="240"/>
        <w:ind w:left="170" w:right="170"/>
      </w:pPr>
      <w:r>
        <w:rPr>
          <w:rFonts w:ascii="Consolas" w:cs="Consolas" w:eastAsia="Consolas" w:hAnsi="Consolas"/>
          <w:color w:val="22303F"/>
          <w:sz w:val="18"/>
          <w:szCs w:val="18"/>
        </w:rPr>
        <w:t xml:space="preserve">python3 -m eas set  &lt;project-id&gt; data-security DATA-04     # fix a domain's position</w:t>
      </w:r>
    </w:p>
    <w:p>
      <w:pPr>
        <w:shd w:fill="F4F6F9" w:val="clear"/>
        <w:spacing w:after="0" w:line="240"/>
        <w:ind w:left="170" w:right="170"/>
      </w:pPr>
      <w:r>
        <w:rPr>
          <w:rFonts w:ascii="Consolas" w:cs="Consolas" w:eastAsia="Consolas" w:hAnsi="Consolas"/>
          <w:color w:val="22303F"/>
          <w:sz w:val="18"/>
          <w:szCs w:val="18"/>
        </w:rPr>
        <w:t xml:space="preserve">python3 -m eas pin  &lt;project-id&gt; secops "Type 2 compliance log volume" \</w:t>
      </w:r>
    </w:p>
    <w:p>
      <w:pPr>
        <w:shd w:fill="F4F6F9" w:val="clear"/>
        <w:spacing w:after="0" w:line="240"/>
        <w:ind w:left="170" w:right="170"/>
      </w:pPr>
      <w:r>
        <w:rPr>
          <w:rFonts w:ascii="Consolas" w:cs="Consolas" w:eastAsia="Consolas" w:hAnsi="Consolas"/>
          <w:color w:val="22303F"/>
          <w:sz w:val="18"/>
          <w:szCs w:val="18"/>
        </w:rPr>
        <w:t xml:space="preserve">                    "420 GB/day" "40 GB/day" "5 GB/day"</w:t>
      </w:r>
    </w:p>
    <w:p>
      <w:pPr>
        <w:shd w:fill="F4F6F9" w:val="clear"/>
        <w:spacing w:after="0" w:line="240"/>
        <w:ind w:left="170" w:right="170"/>
      </w:pPr>
      <w:r>
        <w:rPr>
          <w:rFonts w:ascii="Consolas" w:cs="Consolas" w:eastAsia="Consolas" w:hAnsi="Consolas"/>
          <w:color w:val="22303F"/>
          <w:sz w:val="18"/>
          <w:szCs w:val="18"/>
        </w:rPr>
        <w:t xml:space="preserve">python3 -m eas run  &lt;project-id&gt;                            # re-reconcile</w:t>
      </w:r>
    </w:p>
    <w:p>
      <w:pPr>
        <w:shd w:fill="F4F6F9" w:val="clear"/>
        <w:spacing w:after="0" w:line="240"/>
        <w:ind w:left="170" w:right="170"/>
      </w:pPr>
      <w:r>
        <w:rPr>
          <w:rFonts w:ascii="Consolas" w:cs="Consolas" w:eastAsia="Consolas" w:hAnsi="Consolas"/>
          <w:color w:val="22303F"/>
          <w:sz w:val="18"/>
          <w:szCs w:val="18"/>
        </w:rPr>
        <w:t xml:space="preserve"> </w:t>
      </w:r>
    </w:p>
    <w:p>
      <w:pPr>
        <w:shd w:fill="F4F6F9" w:val="clear"/>
        <w:spacing w:after="0" w:line="240"/>
        <w:ind w:left="170" w:right="170"/>
      </w:pPr>
      <w:r>
        <w:rPr>
          <w:rFonts w:ascii="Consolas" w:cs="Consolas" w:eastAsia="Consolas" w:hAnsi="Consolas"/>
          <w:color w:val="22303F"/>
          <w:sz w:val="18"/>
          <w:szCs w:val="18"/>
        </w:rPr>
        <w:t xml:space="preserve">python3 -m eas serve --port 8000          # the same lifecycle in a browser</w:t>
      </w:r>
    </w:p>
    <w:p>
      <w:pPr>
        <w:shd w:fill="F4F6F9" w:val="clear"/>
        <w:spacing w:after="0" w:line="240"/>
        <w:ind w:left="170" w:right="170"/>
      </w:pPr>
      <w:r>
        <w:rPr>
          <w:rFonts w:ascii="Consolas" w:cs="Consolas" w:eastAsia="Consolas" w:hAnsi="Consolas"/>
          <w:color w:val="22303F"/>
          <w:sz w:val="18"/>
          <w:szCs w:val="18"/>
        </w:rPr>
        <w:t xml:space="preserve"> </w:t>
      </w:r>
    </w:p>
    <w:p>
      <w:pPr>
        <w:shd w:fill="F4F6F9" w:val="clear"/>
        <w:spacing w:after="0" w:line="240"/>
        <w:ind w:left="170" w:right="170"/>
      </w:pPr>
      <w:r>
        <w:rPr>
          <w:rFonts w:ascii="Consolas" w:cs="Consolas" w:eastAsia="Consolas" w:hAnsi="Consolas"/>
          <w:color w:val="22303F"/>
          <w:sz w:val="18"/>
          <w:szCs w:val="18"/>
        </w:rPr>
        <w:t xml:space="preserve"># After changing the catalogue</w:t>
      </w:r>
    </w:p>
    <w:p>
      <w:pPr>
        <w:shd w:fill="F4F6F9" w:val="clear"/>
        <w:spacing w:after="160" w:line="240"/>
        <w:ind w:left="170" w:right="170"/>
      </w:pPr>
      <w:r>
        <w:rPr>
          <w:rFonts w:ascii="Consolas" w:cs="Consolas" w:eastAsia="Consolas" w:hAnsi="Consolas"/>
          <w:color w:val="22303F"/>
          <w:sz w:val="18"/>
          <w:szCs w:val="18"/>
        </w:rPr>
        <w:t xml:space="preserve">python3 -m eas lint &amp;&amp; python3 tools/gen_skills.py &amp;&amp; python3 tools/gen_agents.py</w:t>
      </w:r>
    </w:p>
    <w:p>
      <w:pPr>
        <w:pStyle w:val="Heading2"/>
        <w:spacing w:after="120" w:before="280"/>
      </w:pPr>
      <w:r>
        <w:rPr>
          <w:b/>
          <w:bCs/>
          <w:color w:val="1F4E79"/>
          <w:sz w:val="24"/>
          <w:szCs w:val="24"/>
        </w:rPr>
        <w:t xml:space="preserve">2.5 Project isolation</w:t>
      </w:r>
    </w:p>
    <w:p>
      <w:pPr>
        <w:spacing w:after="140" w:line="276"/>
      </w:pPr>
      <w:r>
        <w:rPr>
          <w:color w:val="1A1A1A"/>
          <w:sz w:val="21"/>
          <w:szCs w:val="21"/>
        </w:rPr>
        <w:t xml:space="preserve">Every request gets its own directory. A project reads and writes only within it; path escapes are refused rather than resolved. Each records the catalogue fingerprint that produced it, so a later phase can tell whether two projects were assessed against the same framework version before it tries to reconcile their strategies. Cross-project conflict detection is deliberately out of scope for this phase.</w:t>
      </w:r>
    </w:p>
    <w:p>
      <w:r>
        <w:br w:type="page"/>
      </w:r>
    </w:p>
    <w:p>
      <w:pPr>
        <w:pStyle w:val="Heading1"/>
        <w:spacing w:after="160" w:before="360"/>
      </w:pPr>
      <w:r>
        <w:rPr>
          <w:b/>
          <w:bCs/>
          <w:color w:val="1F4E79"/>
          <w:sz w:val="30"/>
          <w:szCs w:val="30"/>
        </w:rPr>
        <w:t xml:space="preserve">3. The team and its routing rules</w:t>
      </w:r>
    </w:p>
    <w:p>
      <w:pPr>
        <w:pStyle w:val="Heading2"/>
        <w:spacing w:after="120" w:before="280"/>
      </w:pPr>
      <w:r>
        <w:rPr>
          <w:b/>
          <w:bCs/>
          <w:color w:val="1F4E79"/>
          <w:sz w:val="24"/>
          <w:szCs w:val="24"/>
        </w:rPr>
        <w:t xml:space="preserve">3.1 Which tier to engage</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2900"/>
        <w:gridCol w:w="2200"/>
        <w:gridCol w:w="3926"/>
      </w:tblGrid>
      <w:tr>
        <w:trPr>
          <w:tblHeader/>
        </w:trPr>
        <w:tc>
          <w:tcPr>
            <w:tcW w:type="dxa" w:w="2900"/>
            <w:shd w:fill="EDF1F6" w:val="clear"/>
            <w:tcMar>
              <w:top w:type="dxa" w:w="70"/>
              <w:left w:type="dxa" w:w="100"/>
              <w:bottom w:type="dxa" w:w="70"/>
              <w:right w:type="dxa" w:w="100"/>
            </w:tcMar>
          </w:tcPr>
          <w:p>
            <w:pPr>
              <w:spacing w:after="0" w:line="250"/>
            </w:pPr>
            <w:r>
              <w:rPr>
                <w:b/>
                <w:bCs/>
                <w:color w:val="22303F"/>
                <w:sz w:val="18"/>
                <w:szCs w:val="18"/>
              </w:rPr>
              <w:t xml:space="preserve">You have</w:t>
            </w:r>
          </w:p>
        </w:tc>
        <w:tc>
          <w:tcPr>
            <w:tcW w:type="dxa" w:w="2200"/>
            <w:shd w:fill="EDF1F6" w:val="clear"/>
            <w:tcMar>
              <w:top w:type="dxa" w:w="70"/>
              <w:left w:type="dxa" w:w="100"/>
              <w:bottom w:type="dxa" w:w="70"/>
              <w:right w:type="dxa" w:w="100"/>
            </w:tcMar>
          </w:tcPr>
          <w:p>
            <w:pPr>
              <w:spacing w:after="0" w:line="250"/>
            </w:pPr>
            <w:r>
              <w:rPr>
                <w:b/>
                <w:bCs/>
                <w:color w:val="22303F"/>
                <w:sz w:val="18"/>
                <w:szCs w:val="18"/>
              </w:rPr>
              <w:t xml:space="preserve">Engage</w:t>
            </w:r>
          </w:p>
        </w:tc>
        <w:tc>
          <w:tcPr>
            <w:tcW w:type="dxa" w:w="3926"/>
            <w:shd w:fill="EDF1F6" w:val="clear"/>
            <w:tcMar>
              <w:top w:type="dxa" w:w="70"/>
              <w:left w:type="dxa" w:w="100"/>
              <w:bottom w:type="dxa" w:w="70"/>
              <w:right w:type="dxa" w:w="100"/>
            </w:tcMar>
          </w:tcPr>
          <w:p>
            <w:pPr>
              <w:spacing w:after="0" w:line="250"/>
            </w:pPr>
            <w:r>
              <w:rPr>
                <w:b/>
                <w:bCs/>
                <w:color w:val="22303F"/>
                <w:sz w:val="18"/>
                <w:szCs w:val="18"/>
              </w:rPr>
              <w:t xml:space="preserve">Why</w:t>
            </w:r>
          </w:p>
        </w:tc>
      </w:tr>
      <w:tr>
        <w:tc>
          <w:tcPr>
            <w:tcW w:type="dxa" w:w="2900"/>
            <w:tcMar>
              <w:top w:type="dxa" w:w="70"/>
              <w:left w:type="dxa" w:w="100"/>
              <w:bottom w:type="dxa" w:w="70"/>
              <w:right w:type="dxa" w:w="100"/>
            </w:tcMar>
          </w:tcPr>
          <w:p>
            <w:pPr>
              <w:spacing w:after="0" w:line="250"/>
            </w:pPr>
            <w:r>
              <w:rPr>
                <w:color w:val="1A1A1A"/>
                <w:sz w:val="19"/>
                <w:szCs w:val="19"/>
              </w:rPr>
              <w:t xml:space="preserve">A question inside one capability</w:t>
            </w:r>
          </w:p>
        </w:tc>
        <w:tc>
          <w:tcPr>
            <w:tcW w:type="dxa" w:w="2200"/>
            <w:tcMar>
              <w:top w:type="dxa" w:w="70"/>
              <w:left w:type="dxa" w:w="100"/>
              <w:bottom w:type="dxa" w:w="70"/>
              <w:right w:type="dxa" w:w="100"/>
            </w:tcMar>
          </w:tcPr>
          <w:p>
            <w:pPr>
              <w:spacing w:after="0" w:line="250"/>
            </w:pPr>
            <w:r>
              <w:rPr>
                <w:color w:val="1A1A1A"/>
                <w:sz w:val="19"/>
                <w:szCs w:val="19"/>
              </w:rPr>
              <w:t xml:space="preserve">sme-&lt;capability&gt;</w:t>
            </w:r>
          </w:p>
        </w:tc>
        <w:tc>
          <w:tcPr>
            <w:tcW w:type="dxa" w:w="3926"/>
            <w:tcMar>
              <w:top w:type="dxa" w:w="70"/>
              <w:left w:type="dxa" w:w="100"/>
              <w:bottom w:type="dxa" w:w="70"/>
              <w:right w:type="dxa" w:w="100"/>
            </w:tcMar>
          </w:tcPr>
          <w:p>
            <w:pPr>
              <w:spacing w:after="0" w:line="250"/>
            </w:pPr>
            <w:r>
              <w:rPr>
                <w:color w:val="1A1A1A"/>
                <w:sz w:val="19"/>
                <w:szCs w:val="19"/>
              </w:rPr>
              <w:t xml:space="preserve">Depth, in isolation, with the assumptions it refused to make</w:t>
            </w:r>
          </w:p>
        </w:tc>
      </w:tr>
      <w:tr>
        <w:tc>
          <w:tcPr>
            <w:tcW w:type="dxa" w:w="2900"/>
            <w:tcMar>
              <w:top w:type="dxa" w:w="70"/>
              <w:left w:type="dxa" w:w="100"/>
              <w:bottom w:type="dxa" w:w="70"/>
              <w:right w:type="dxa" w:w="100"/>
            </w:tcMar>
          </w:tcPr>
          <w:p>
            <w:pPr>
              <w:spacing w:after="0" w:line="250"/>
            </w:pPr>
            <w:r>
              <w:rPr>
                <w:color w:val="1A1A1A"/>
                <w:sz w:val="19"/>
                <w:szCs w:val="19"/>
              </w:rPr>
              <w:t xml:space="preserve">A question spanning one domain</w:t>
            </w:r>
          </w:p>
        </w:tc>
        <w:tc>
          <w:tcPr>
            <w:tcW w:type="dxa" w:w="2200"/>
            <w:tcMar>
              <w:top w:type="dxa" w:w="70"/>
              <w:left w:type="dxa" w:w="100"/>
              <w:bottom w:type="dxa" w:w="70"/>
              <w:right w:type="dxa" w:w="100"/>
            </w:tcMar>
          </w:tcPr>
          <w:p>
            <w:pPr>
              <w:spacing w:after="0" w:line="250"/>
            </w:pPr>
            <w:r>
              <w:rPr>
                <w:color w:val="1A1A1A"/>
                <w:sz w:val="19"/>
                <w:szCs w:val="19"/>
              </w:rPr>
              <w:t xml:space="preserve">architect-&lt;domain&gt;</w:t>
            </w:r>
          </w:p>
        </w:tc>
        <w:tc>
          <w:tcPr>
            <w:tcW w:type="dxa" w:w="3926"/>
            <w:tcMar>
              <w:top w:type="dxa" w:w="70"/>
              <w:left w:type="dxa" w:w="100"/>
              <w:bottom w:type="dxa" w:w="70"/>
              <w:right w:type="dxa" w:w="100"/>
            </w:tcMar>
          </w:tcPr>
          <w:p>
            <w:pPr>
              <w:spacing w:after="0" w:line="250"/>
            </w:pPr>
            <w:r>
              <w:rPr>
                <w:color w:val="1A1A1A"/>
                <w:sz w:val="19"/>
                <w:szCs w:val="19"/>
              </w:rPr>
              <w:t xml:space="preserve">It fans out to its own SMEs and reconciles them</w:t>
            </w:r>
          </w:p>
        </w:tc>
      </w:tr>
      <w:tr>
        <w:tc>
          <w:tcPr>
            <w:tcW w:type="dxa" w:w="2900"/>
            <w:tcMar>
              <w:top w:type="dxa" w:w="70"/>
              <w:left w:type="dxa" w:w="100"/>
              <w:bottom w:type="dxa" w:w="70"/>
              <w:right w:type="dxa" w:w="100"/>
            </w:tcMar>
          </w:tcPr>
          <w:p>
            <w:pPr>
              <w:spacing w:after="0" w:line="250"/>
            </w:pPr>
            <w:r>
              <w:rPr>
                <w:color w:val="1A1A1A"/>
                <w:sz w:val="19"/>
                <w:szCs w:val="19"/>
              </w:rPr>
              <w:t xml:space="preserve">Anything touching two or more domains</w:t>
            </w:r>
          </w:p>
        </w:tc>
        <w:tc>
          <w:tcPr>
            <w:tcW w:type="dxa" w:w="2200"/>
            <w:tcMar>
              <w:top w:type="dxa" w:w="70"/>
              <w:left w:type="dxa" w:w="100"/>
              <w:bottom w:type="dxa" w:w="70"/>
              <w:right w:type="dxa" w:w="100"/>
            </w:tcMar>
          </w:tcPr>
          <w:p>
            <w:pPr>
              <w:spacing w:after="0" w:line="250"/>
            </w:pPr>
            <w:r>
              <w:rPr>
                <w:color w:val="1A1A1A"/>
                <w:sz w:val="19"/>
                <w:szCs w:val="19"/>
              </w:rPr>
              <w:t xml:space="preserve">master-architect</w:t>
            </w:r>
          </w:p>
        </w:tc>
        <w:tc>
          <w:tcPr>
            <w:tcW w:type="dxa" w:w="3926"/>
            <w:tcMar>
              <w:top w:type="dxa" w:w="70"/>
              <w:left w:type="dxa" w:w="100"/>
              <w:bottom w:type="dxa" w:w="70"/>
              <w:right w:type="dxa" w:w="100"/>
            </w:tcMar>
          </w:tcPr>
          <w:p>
            <w:pPr>
              <w:spacing w:after="0" w:line="250"/>
            </w:pPr>
            <w:r>
              <w:rPr>
                <w:color w:val="1A1A1A"/>
                <w:sz w:val="19"/>
                <w:szCs w:val="19"/>
              </w:rPr>
              <w:t xml:space="preserve">Only it can see what two domains have each assumed the other handles</w:t>
            </w:r>
          </w:p>
        </w:tc>
      </w:tr>
      <w:tr>
        <w:tc>
          <w:tcPr>
            <w:tcW w:type="dxa" w:w="2900"/>
            <w:tcMar>
              <w:top w:type="dxa" w:w="70"/>
              <w:left w:type="dxa" w:w="100"/>
              <w:bottom w:type="dxa" w:w="70"/>
              <w:right w:type="dxa" w:w="100"/>
            </w:tcMar>
          </w:tcPr>
          <w:p>
            <w:pPr>
              <w:spacing w:after="0" w:line="250"/>
            </w:pPr>
            <w:r>
              <w:rPr>
                <w:color w:val="1A1A1A"/>
                <w:sz w:val="19"/>
                <w:szCs w:val="19"/>
              </w:rPr>
              <w:t xml:space="preserve">A whole architecture direction</w:t>
            </w:r>
          </w:p>
        </w:tc>
        <w:tc>
          <w:tcPr>
            <w:tcW w:type="dxa" w:w="2200"/>
            <w:tcMar>
              <w:top w:type="dxa" w:w="70"/>
              <w:left w:type="dxa" w:w="100"/>
              <w:bottom w:type="dxa" w:w="70"/>
              <w:right w:type="dxa" w:w="100"/>
            </w:tcMar>
          </w:tcPr>
          <w:p>
            <w:pPr>
              <w:spacing w:after="0" w:line="250"/>
            </w:pPr>
            <w:r>
              <w:rPr>
                <w:color w:val="1A1A1A"/>
                <w:sz w:val="19"/>
                <w:szCs w:val="19"/>
              </w:rPr>
              <w:t xml:space="preserve">master-architect</w:t>
            </w:r>
          </w:p>
        </w:tc>
        <w:tc>
          <w:tcPr>
            <w:tcW w:type="dxa" w:w="3926"/>
            <w:tcMar>
              <w:top w:type="dxa" w:w="70"/>
              <w:left w:type="dxa" w:w="100"/>
              <w:bottom w:type="dxa" w:w="70"/>
              <w:right w:type="dxa" w:w="100"/>
            </w:tcMar>
          </w:tcPr>
          <w:p>
            <w:pPr>
              <w:spacing w:after="0" w:line="250"/>
            </w:pPr>
            <w:r>
              <w:rPr>
                <w:color w:val="1A1A1A"/>
                <w:sz w:val="19"/>
                <w:szCs w:val="19"/>
              </w:rPr>
              <w:t xml:space="preserve">It runs the engine for the nine domains it covers and the Architects for the rest</w:t>
            </w:r>
          </w:p>
        </w:tc>
      </w:tr>
    </w:tbl>
    <w:p>
      <w:pPr>
        <w:spacing w:after="140" w:line="276"/>
      </w:pPr>
      <w:r>
        <w:rPr>
          <w:color w:val="1A1A1A"/>
          <w:sz w:val="21"/>
          <w:szCs w:val="21"/>
        </w:rPr>
        <w:t xml:space="preserve">Start at the lowest tier that can hold the whole question. Going straight to the Master Architect for a single-domain question wastes the independent check the tier exists to provide.</w:t>
      </w:r>
    </w:p>
    <w:p>
      <w:pPr>
        <w:pStyle w:val="Heading2"/>
        <w:spacing w:after="120" w:before="280"/>
      </w:pPr>
      <w:r>
        <w:rPr>
          <w:b/>
          <w:bCs/>
          <w:color w:val="1F4E79"/>
          <w:sz w:val="24"/>
          <w:szCs w:val="24"/>
        </w:rPr>
        <w:t xml:space="preserve">3.2 The four rules that make it work</w:t>
      </w:r>
    </w:p>
    <w:p>
      <w:pPr>
        <w:spacing w:after="140" w:line="276"/>
      </w:pPr>
      <w:r>
        <w:rPr>
          <w:color w:val="1A1A1A"/>
          <w:sz w:val="21"/>
          <w:szCs w:val="21"/>
        </w:rPr>
        <w:t xml:space="preserve">These are enforced, not described. The protocol text lives once in catalogue/org/hierarchy.json and is stamped verbatim into all 80 agents, so an SME's understanding of when to escalate cannot drift from its Architect's understanding of when to accept. A test asserts it.</w:t>
      </w:r>
    </w:p>
    <w:p>
      <w:pPr>
        <w:pStyle w:val="ListParagraph"/>
        <w:numPr>
          <w:ilvl w:val="0"/>
          <w:numId w:val="2"/>
        </w:numPr>
        <w:spacing w:after="80" w:line="276"/>
      </w:pPr>
      <w:r>
        <w:rPr>
          <w:color w:val="1A1A1A"/>
          <w:sz w:val="21"/>
          <w:szCs w:val="21"/>
        </w:rPr>
        <w:t xml:space="preserve">SMEs work in isolation. An SME must not speculate about another capability's position, even one it understands well. An Architect must not brief one SME with another's output before both have reported — a primed SME confirms rather than assesses.</w:t>
      </w:r>
    </w:p>
    <w:p>
      <w:pPr>
        <w:pStyle w:val="ListParagraph"/>
        <w:numPr>
          <w:ilvl w:val="0"/>
          <w:numId w:val="2"/>
        </w:numPr>
        <w:spacing w:after="80" w:line="276"/>
      </w:pPr>
      <w:r>
        <w:rPr>
          <w:color w:val="1A1A1A"/>
          <w:sz w:val="21"/>
          <w:szCs w:val="21"/>
        </w:rPr>
        <w:t xml:space="preserve">Nothing is assumed. Every SME carries an explicit never-assume list: the specific things that look settled and are not. Where one applies and the answer was not given, it becomes a question with a named owner — never a placeholder and never a plausible guess.</w:t>
      </w:r>
    </w:p>
    <w:p>
      <w:pPr>
        <w:pStyle w:val="ListParagraph"/>
        <w:numPr>
          <w:ilvl w:val="0"/>
          <w:numId w:val="2"/>
        </w:numPr>
        <w:spacing w:after="80" w:line="276"/>
      </w:pPr>
      <w:r>
        <w:rPr>
          <w:color w:val="1A1A1A"/>
          <w:sz w:val="21"/>
          <w:szCs w:val="21"/>
        </w:rPr>
        <w:t xml:space="preserve">Routing goes up, not sideways. A same-domain need returns a routing request to the Architect; a cross-domain need returns a dependency. An SME never contacts a peer and never resolves a cross-domain dependency itself.</w:t>
      </w:r>
    </w:p>
    <w:p>
      <w:pPr>
        <w:pStyle w:val="ListParagraph"/>
        <w:numPr>
          <w:ilvl w:val="0"/>
          <w:numId w:val="2"/>
        </w:numPr>
        <w:spacing w:after="80" w:line="276"/>
      </w:pPr>
      <w:r>
        <w:rPr>
          <w:color w:val="1A1A1A"/>
          <w:sz w:val="21"/>
          <w:szCs w:val="21"/>
        </w:rPr>
        <w:t xml:space="preserve">Escalation is bounded. Anything resolvable inside a domain stays there. The Master Architect sees only cross-domain dependencies and caveats, which keeps it able to evaluate rather than participate.</w:t>
      </w:r>
    </w:p>
    <w:p>
      <w:pPr>
        <w:pStyle w:val="Heading2"/>
        <w:spacing w:after="120" w:before="280"/>
      </w:pPr>
      <w:r>
        <w:rPr>
          <w:b/>
          <w:bCs/>
          <w:color w:val="1F4E79"/>
          <w:sz w:val="24"/>
          <w:szCs w:val="24"/>
        </w:rPr>
        <w:t xml:space="preserve">3.3 The state only the Master Architect can find</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2000"/>
        <w:gridCol w:w="7026"/>
      </w:tblGrid>
      <w:tr>
        <w:trPr>
          <w:tblHeader/>
        </w:trPr>
        <w:tc>
          <w:tcPr>
            <w:tcW w:type="dxa" w:w="2000"/>
            <w:shd w:fill="EDF1F6" w:val="clear"/>
            <w:tcMar>
              <w:top w:type="dxa" w:w="70"/>
              <w:left w:type="dxa" w:w="100"/>
              <w:bottom w:type="dxa" w:w="70"/>
              <w:right w:type="dxa" w:w="100"/>
            </w:tcMar>
          </w:tcPr>
          <w:p>
            <w:pPr>
              <w:spacing w:after="0" w:line="250"/>
            </w:pPr>
            <w:r>
              <w:rPr>
                <w:b/>
                <w:bCs/>
                <w:color w:val="22303F"/>
                <w:sz w:val="18"/>
                <w:szCs w:val="18"/>
              </w:rPr>
              <w:t xml:space="preserve">State</w:t>
            </w:r>
          </w:p>
        </w:tc>
        <w:tc>
          <w:tcPr>
            <w:tcW w:type="dxa" w:w="7026"/>
            <w:shd w:fill="EDF1F6" w:val="clear"/>
            <w:tcMar>
              <w:top w:type="dxa" w:w="70"/>
              <w:left w:type="dxa" w:w="100"/>
              <w:bottom w:type="dxa" w:w="70"/>
              <w:right w:type="dxa" w:w="100"/>
            </w:tcMar>
          </w:tcPr>
          <w:p>
            <w:pPr>
              <w:spacing w:after="0" w:line="250"/>
            </w:pPr>
            <w:r>
              <w:rPr>
                <w:b/>
                <w:bCs/>
                <w:color w:val="22303F"/>
                <w:sz w:val="18"/>
                <w:szCs w:val="18"/>
              </w:rPr>
              <w:t xml:space="preserve">Meaning</w:t>
            </w:r>
          </w:p>
        </w:tc>
      </w:tr>
      <w:tr>
        <w:tc>
          <w:tcPr>
            <w:tcW w:type="dxa" w:w="2000"/>
            <w:tcMar>
              <w:top w:type="dxa" w:w="70"/>
              <w:left w:type="dxa" w:w="100"/>
              <w:bottom w:type="dxa" w:w="70"/>
              <w:right w:type="dxa" w:w="100"/>
            </w:tcMar>
          </w:tcPr>
          <w:p>
            <w:pPr>
              <w:spacing w:after="0" w:line="250"/>
            </w:pPr>
            <w:r>
              <w:rPr>
                <w:color w:val="1A1A1A"/>
                <w:sz w:val="19"/>
                <w:szCs w:val="19"/>
              </w:rPr>
              <w:t xml:space="preserve">Satisfied</w:t>
            </w:r>
          </w:p>
        </w:tc>
        <w:tc>
          <w:tcPr>
            <w:tcW w:type="dxa" w:w="7026"/>
            <w:tcMar>
              <w:top w:type="dxa" w:w="70"/>
              <w:left w:type="dxa" w:w="100"/>
              <w:bottom w:type="dxa" w:w="70"/>
              <w:right w:type="dxa" w:w="100"/>
            </w:tcMar>
          </w:tcPr>
          <w:p>
            <w:pPr>
              <w:spacing w:after="0" w:line="250"/>
            </w:pPr>
            <w:r>
              <w:rPr>
                <w:color w:val="1A1A1A"/>
                <w:sz w:val="19"/>
                <w:szCs w:val="19"/>
              </w:rPr>
              <w:t xml:space="preserve">One domain needs something, another supplies it, and both describe the same thing.</w:t>
            </w:r>
          </w:p>
        </w:tc>
      </w:tr>
      <w:tr>
        <w:tc>
          <w:tcPr>
            <w:tcW w:type="dxa" w:w="2000"/>
            <w:tcMar>
              <w:top w:type="dxa" w:w="70"/>
              <w:left w:type="dxa" w:w="100"/>
              <w:bottom w:type="dxa" w:w="70"/>
              <w:right w:type="dxa" w:w="100"/>
            </w:tcMar>
          </w:tcPr>
          <w:p>
            <w:pPr>
              <w:spacing w:after="0" w:line="250"/>
            </w:pPr>
            <w:r>
              <w:rPr>
                <w:color w:val="1A1A1A"/>
                <w:sz w:val="19"/>
                <w:szCs w:val="19"/>
              </w:rPr>
              <w:t xml:space="preserve">Contradiction</w:t>
            </w:r>
          </w:p>
        </w:tc>
        <w:tc>
          <w:tcPr>
            <w:tcW w:type="dxa" w:w="7026"/>
            <w:tcMar>
              <w:top w:type="dxa" w:w="70"/>
              <w:left w:type="dxa" w:w="100"/>
              <w:bottom w:type="dxa" w:w="70"/>
              <w:right w:type="dxa" w:w="100"/>
            </w:tcMar>
          </w:tcPr>
          <w:p>
            <w:pPr>
              <w:spacing w:after="0" w:line="250"/>
            </w:pPr>
            <w:r>
              <w:rPr>
                <w:color w:val="1A1A1A"/>
                <w:sz w:val="19"/>
                <w:szCs w:val="19"/>
              </w:rPr>
              <w:t xml:space="preserve">Two domains have taken positions that cannot both hold. Blocking.</w:t>
            </w:r>
          </w:p>
        </w:tc>
      </w:tr>
      <w:tr>
        <w:tc>
          <w:tcPr>
            <w:tcW w:type="dxa" w:w="2000"/>
            <w:tcMar>
              <w:top w:type="dxa" w:w="70"/>
              <w:left w:type="dxa" w:w="100"/>
              <w:bottom w:type="dxa" w:w="70"/>
              <w:right w:type="dxa" w:w="100"/>
            </w:tcMar>
          </w:tcPr>
          <w:p>
            <w:pPr>
              <w:spacing w:after="0" w:line="250"/>
            </w:pPr>
            <w:r>
              <w:rPr>
                <w:color w:val="1A1A1A"/>
                <w:sz w:val="19"/>
                <w:szCs w:val="19"/>
              </w:rPr>
              <w:t xml:space="preserve">Gap</w:t>
            </w:r>
          </w:p>
        </w:tc>
        <w:tc>
          <w:tcPr>
            <w:tcW w:type="dxa" w:w="7026"/>
            <w:tcMar>
              <w:top w:type="dxa" w:w="70"/>
              <w:left w:type="dxa" w:w="100"/>
              <w:bottom w:type="dxa" w:w="70"/>
              <w:right w:type="dxa" w:w="100"/>
            </w:tcMar>
          </w:tcPr>
          <w:p>
            <w:pPr>
              <w:spacing w:after="0" w:line="250"/>
            </w:pPr>
            <w:r>
              <w:rPr>
                <w:color w:val="1A1A1A"/>
                <w:sz w:val="19"/>
                <w:szCs w:val="19"/>
              </w:rPr>
              <w:t xml:space="preserve">A domain needs something no domain supplies. Becomes a question with an owner.</w:t>
            </w:r>
          </w:p>
        </w:tc>
      </w:tr>
      <w:tr>
        <w:tc>
          <w:tcPr>
            <w:tcW w:type="dxa" w:w="2000"/>
            <w:tcMar>
              <w:top w:type="dxa" w:w="70"/>
              <w:left w:type="dxa" w:w="100"/>
              <w:bottom w:type="dxa" w:w="70"/>
              <w:right w:type="dxa" w:w="100"/>
            </w:tcMar>
          </w:tcPr>
          <w:p>
            <w:pPr>
              <w:spacing w:after="0" w:line="250"/>
            </w:pPr>
            <w:r>
              <w:rPr>
                <w:color w:val="1A1A1A"/>
                <w:sz w:val="19"/>
                <w:szCs w:val="19"/>
              </w:rPr>
              <w:t xml:space="preserve">Assumed</w:t>
            </w:r>
          </w:p>
        </w:tc>
        <w:tc>
          <w:tcPr>
            <w:tcW w:type="dxa" w:w="7026"/>
            <w:tcMar>
              <w:top w:type="dxa" w:w="70"/>
              <w:left w:type="dxa" w:w="100"/>
              <w:bottom w:type="dxa" w:w="70"/>
              <w:right w:type="dxa" w:w="100"/>
            </w:tcMar>
          </w:tcPr>
          <w:p>
            <w:pPr>
              <w:spacing w:after="0" w:line="250"/>
            </w:pPr>
            <w:r>
              <w:rPr>
                <w:color w:val="1A1A1A"/>
                <w:sz w:val="19"/>
                <w:szCs w:val="19"/>
              </w:rPr>
              <w:t xml:space="preserve">Two domains have each assumed the other handles it. The most dangerous state, because both outputs look complete.</w:t>
            </w:r>
          </w:p>
        </w:tc>
      </w:tr>
    </w:tbl>
    <w:p>
      <w:pPr>
        <w:spacing w:after="140" w:line="276"/>
      </w:pPr>
      <w:r>
        <w:rPr>
          <w:color w:val="1A1A1A"/>
          <w:sz w:val="21"/>
          <w:szCs w:val="21"/>
        </w:rPr>
        <w:t xml:space="preserve">Assumed is the one neither Domain Architect can see, because from inside each domain the assumption looks like a reasonable reading of the other's scope. Section 4 shows exactly this happening on a real migration.</w:t>
      </w:r>
    </w:p>
    <w:p>
      <w:pPr>
        <w:pStyle w:val="Heading2"/>
        <w:spacing w:after="120" w:before="280"/>
      </w:pPr>
      <w:r>
        <w:rPr>
          <w:b/>
          <w:bCs/>
          <w:color w:val="1F4E79"/>
          <w:sz w:val="24"/>
          <w:szCs w:val="24"/>
        </w:rPr>
        <w:t xml:space="preserve">3.4 Coverage against the engine</w:t>
      </w:r>
    </w:p>
    <w:p>
      <w:pPr>
        <w:spacing w:after="140" w:line="276"/>
      </w:pPr>
      <w:r>
        <w:rPr>
          <w:color w:val="1A1A1A"/>
          <w:sz w:val="21"/>
          <w:szCs w:val="21"/>
        </w:rPr>
        <w:t xml:space="preserve">Eight of the twelve security domains map onto the engine's nine validator domains. Four do not: offensive security, human and organisational, physical and environmental, and emerging and specialised. A base-plate run assesses nothing in them.</w:t>
      </w:r>
    </w:p>
    <w:p>
      <w:pPr>
        <w:pBdr>
          <w:left w:val="single" w:color="C8912B" w:sz="18"/>
        </w:pBdr>
        <w:shd w:fill="FBF7EC" w:val="clear"/>
        <w:spacing w:after="160" w:before="100" w:line="276"/>
        <w:ind w:left="170" w:right="170"/>
      </w:pPr>
      <w:r>
        <w:rPr>
          <w:color w:val="4A3A16"/>
          <w:sz w:val="20"/>
          <w:szCs w:val="20"/>
        </w:rPr>
        <w:t xml:space="preserve">A run's clean verdict is not coverage of those four domains. The Master Architect agent states this explicitly and a test asserts it keeps saying so — but on any real engagement it is the reviewer's job to check those Architects were engaged.</w:t>
      </w:r>
    </w:p>
    <w:p>
      <w:r>
        <w:br w:type="page"/>
      </w:r>
    </w:p>
    <w:p>
      <w:pPr>
        <w:pStyle w:val="Heading1"/>
        <w:spacing w:after="160" w:before="360"/>
      </w:pPr>
      <w:r>
        <w:rPr>
          <w:b/>
          <w:bCs/>
          <w:color w:val="1F4E79"/>
          <w:sz w:val="30"/>
          <w:szCs w:val="30"/>
        </w:rPr>
        <w:t xml:space="preserve">4. The flow and its hand-offs</w:t>
      </w:r>
    </w:p>
    <w:p>
      <w:pPr>
        <w:spacing w:after="140" w:line="276"/>
      </w:pPr>
      <w:r>
        <w:rPr>
          <w:color w:val="1A1A1A"/>
          <w:sz w:val="21"/>
          <w:szCs w:val="21"/>
        </w:rPr>
        <w:t xml:space="preserve">Worked against a real shape of problem: migrating internet egress and private application access from a colocation stack to Palo Alto Prisma Access, for an organisation with colo egress today, workloads in GCP, Azure and AWS, remote users, and eleven regions whose requirements genuinely differ.</w:t>
      </w:r>
    </w:p>
    <w:p>
      <w:pPr>
        <w:pStyle w:val="Heading2"/>
        <w:spacing w:after="120" w:before="280"/>
      </w:pPr>
      <w:r>
        <w:rPr>
          <w:b/>
          <w:bCs/>
          <w:color w:val="1F4E79"/>
          <w:sz w:val="24"/>
          <w:szCs w:val="24"/>
        </w:rPr>
        <w:t xml:space="preserve">4.1 The situation</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1700"/>
        <w:gridCol w:w="3400"/>
        <w:gridCol w:w="3926"/>
      </w:tblGrid>
      <w:tr>
        <w:trPr>
          <w:tblHeader/>
        </w:trPr>
        <w:tc>
          <w:tcPr>
            <w:tcW w:type="dxa" w:w="1700"/>
            <w:shd w:fill="EDF1F6" w:val="clear"/>
            <w:tcMar>
              <w:top w:type="dxa" w:w="70"/>
              <w:left w:type="dxa" w:w="100"/>
              <w:bottom w:type="dxa" w:w="70"/>
              <w:right w:type="dxa" w:w="100"/>
            </w:tcMar>
          </w:tcPr>
          <w:p>
            <w:pPr>
              <w:spacing w:after="0" w:line="250"/>
            </w:pPr>
            <w:r>
              <w:rPr>
                <w:b/>
                <w:bCs/>
                <w:color w:val="22303F"/>
                <w:sz w:val="18"/>
                <w:szCs w:val="18"/>
              </w:rPr>
              <w:t xml:space="preserve">Element</w:t>
            </w:r>
          </w:p>
        </w:tc>
        <w:tc>
          <w:tcPr>
            <w:tcW w:type="dxa" w:w="3400"/>
            <w:shd w:fill="EDF1F6" w:val="clear"/>
            <w:tcMar>
              <w:top w:type="dxa" w:w="70"/>
              <w:left w:type="dxa" w:w="100"/>
              <w:bottom w:type="dxa" w:w="70"/>
              <w:right w:type="dxa" w:w="100"/>
            </w:tcMar>
          </w:tcPr>
          <w:p>
            <w:pPr>
              <w:spacing w:after="0" w:line="250"/>
            </w:pPr>
            <w:r>
              <w:rPr>
                <w:b/>
                <w:bCs/>
                <w:color w:val="22303F"/>
                <w:sz w:val="18"/>
                <w:szCs w:val="18"/>
              </w:rPr>
              <w:t xml:space="preserve">Today</w:t>
            </w:r>
          </w:p>
        </w:tc>
        <w:tc>
          <w:tcPr>
            <w:tcW w:type="dxa" w:w="3926"/>
            <w:shd w:fill="EDF1F6" w:val="clear"/>
            <w:tcMar>
              <w:top w:type="dxa" w:w="70"/>
              <w:left w:type="dxa" w:w="100"/>
              <w:bottom w:type="dxa" w:w="70"/>
              <w:right w:type="dxa" w:w="100"/>
            </w:tcMar>
          </w:tcPr>
          <w:p>
            <w:pPr>
              <w:spacing w:after="0" w:line="250"/>
            </w:pPr>
            <w:r>
              <w:rPr>
                <w:b/>
                <w:bCs/>
                <w:color w:val="22303F"/>
                <w:sz w:val="18"/>
                <w:szCs w:val="18"/>
              </w:rPr>
              <w:t xml:space="preserve">Target</w:t>
            </w:r>
          </w:p>
        </w:tc>
      </w:tr>
      <w:tr>
        <w:tc>
          <w:tcPr>
            <w:tcW w:type="dxa" w:w="1700"/>
            <w:tcMar>
              <w:top w:type="dxa" w:w="70"/>
              <w:left w:type="dxa" w:w="100"/>
              <w:bottom w:type="dxa" w:w="70"/>
              <w:right w:type="dxa" w:w="100"/>
            </w:tcMar>
          </w:tcPr>
          <w:p>
            <w:pPr>
              <w:spacing w:after="0" w:line="250"/>
            </w:pPr>
            <w:r>
              <w:rPr>
                <w:color w:val="1A1A1A"/>
                <w:sz w:val="19"/>
                <w:szCs w:val="19"/>
              </w:rPr>
              <w:t xml:space="preserve">Office egress</w:t>
            </w:r>
          </w:p>
        </w:tc>
        <w:tc>
          <w:tcPr>
            <w:tcW w:type="dxa" w:w="3400"/>
            <w:tcMar>
              <w:top w:type="dxa" w:w="70"/>
              <w:left w:type="dxa" w:w="100"/>
              <w:bottom w:type="dxa" w:w="70"/>
              <w:right w:type="dxa" w:w="100"/>
            </w:tcMar>
          </w:tcPr>
          <w:p>
            <w:pPr>
              <w:spacing w:after="0" w:line="250"/>
            </w:pPr>
            <w:r>
              <w:rPr>
                <w:color w:val="1A1A1A"/>
                <w:sz w:val="19"/>
                <w:szCs w:val="19"/>
              </w:rPr>
              <w:t xml:space="preserve">Colo stack: perimeter firewalls, proxies, TLS inspection, DNS forwarders. End of life.</w:t>
            </w:r>
          </w:p>
        </w:tc>
        <w:tc>
          <w:tcPr>
            <w:tcW w:type="dxa" w:w="3926"/>
            <w:tcMar>
              <w:top w:type="dxa" w:w="70"/>
              <w:left w:type="dxa" w:w="100"/>
              <w:bottom w:type="dxa" w:w="70"/>
              <w:right w:type="dxa" w:w="100"/>
            </w:tcMar>
          </w:tcPr>
          <w:p>
            <w:pPr>
              <w:spacing w:after="0" w:line="250"/>
            </w:pPr>
            <w:r>
              <w:rPr>
                <w:color w:val="1A1A1A"/>
                <w:sz w:val="19"/>
                <w:szCs w:val="19"/>
              </w:rPr>
              <w:t xml:space="preserve">Prisma Access, one policy set</w:t>
            </w:r>
          </w:p>
        </w:tc>
      </w:tr>
      <w:tr>
        <w:tc>
          <w:tcPr>
            <w:tcW w:type="dxa" w:w="1700"/>
            <w:tcMar>
              <w:top w:type="dxa" w:w="70"/>
              <w:left w:type="dxa" w:w="100"/>
              <w:bottom w:type="dxa" w:w="70"/>
              <w:right w:type="dxa" w:w="100"/>
            </w:tcMar>
          </w:tcPr>
          <w:p>
            <w:pPr>
              <w:spacing w:after="0" w:line="250"/>
            </w:pPr>
            <w:r>
              <w:rPr>
                <w:color w:val="1A1A1A"/>
                <w:sz w:val="19"/>
                <w:szCs w:val="19"/>
              </w:rPr>
              <w:t xml:space="preserve">Remote users</w:t>
            </w:r>
          </w:p>
        </w:tc>
        <w:tc>
          <w:tcPr>
            <w:tcW w:type="dxa" w:w="3400"/>
            <w:tcMar>
              <w:top w:type="dxa" w:w="70"/>
              <w:left w:type="dxa" w:w="100"/>
              <w:bottom w:type="dxa" w:w="70"/>
              <w:right w:type="dxa" w:w="100"/>
            </w:tcMar>
          </w:tcPr>
          <w:p>
            <w:pPr>
              <w:spacing w:after="0" w:line="250"/>
            </w:pPr>
            <w:r>
              <w:rPr>
                <w:color w:val="1A1A1A"/>
                <w:sz w:val="19"/>
                <w:szCs w:val="19"/>
              </w:rPr>
              <w:t xml:space="preserve">Backhauled over VPN, or not inspected at all</w:t>
            </w:r>
          </w:p>
        </w:tc>
        <w:tc>
          <w:tcPr>
            <w:tcW w:type="dxa" w:w="3926"/>
            <w:tcMar>
              <w:top w:type="dxa" w:w="70"/>
              <w:left w:type="dxa" w:w="100"/>
              <w:bottom w:type="dxa" w:w="70"/>
              <w:right w:type="dxa" w:w="100"/>
            </w:tcMar>
          </w:tcPr>
          <w:p>
            <w:pPr>
              <w:spacing w:after="0" w:line="250"/>
            </w:pPr>
            <w:r>
              <w:rPr>
                <w:color w:val="1A1A1A"/>
                <w:sz w:val="19"/>
                <w:szCs w:val="19"/>
              </w:rPr>
              <w:t xml:space="preserve">Prisma Access mobile user gateways per region</w:t>
            </w:r>
          </w:p>
        </w:tc>
      </w:tr>
      <w:tr>
        <w:tc>
          <w:tcPr>
            <w:tcW w:type="dxa" w:w="1700"/>
            <w:tcMar>
              <w:top w:type="dxa" w:w="70"/>
              <w:left w:type="dxa" w:w="100"/>
              <w:bottom w:type="dxa" w:w="70"/>
              <w:right w:type="dxa" w:w="100"/>
            </w:tcMar>
          </w:tcPr>
          <w:p>
            <w:pPr>
              <w:spacing w:after="0" w:line="250"/>
            </w:pPr>
            <w:r>
              <w:rPr>
                <w:color w:val="1A1A1A"/>
                <w:sz w:val="19"/>
                <w:szCs w:val="19"/>
              </w:rPr>
              <w:t xml:space="preserve">Cloud egress</w:t>
            </w:r>
          </w:p>
        </w:tc>
        <w:tc>
          <w:tcPr>
            <w:tcW w:type="dxa" w:w="3400"/>
            <w:tcMar>
              <w:top w:type="dxa" w:w="70"/>
              <w:left w:type="dxa" w:w="100"/>
              <w:bottom w:type="dxa" w:w="70"/>
              <w:right w:type="dxa" w:w="100"/>
            </w:tcMar>
          </w:tcPr>
          <w:p>
            <w:pPr>
              <w:spacing w:after="0" w:line="250"/>
            </w:pPr>
            <w:r>
              <w:rPr>
                <w:color w:val="1A1A1A"/>
                <w:sz w:val="19"/>
                <w:szCs w:val="19"/>
              </w:rPr>
              <w:t xml:space="preserve">GCP, Azure and AWS each egress independently</w:t>
            </w:r>
          </w:p>
        </w:tc>
        <w:tc>
          <w:tcPr>
            <w:tcW w:type="dxa" w:w="3926"/>
            <w:tcMar>
              <w:top w:type="dxa" w:w="70"/>
              <w:left w:type="dxa" w:w="100"/>
              <w:bottom w:type="dxa" w:w="70"/>
              <w:right w:type="dxa" w:w="100"/>
            </w:tcMar>
          </w:tcPr>
          <w:p>
            <w:pPr>
              <w:spacing w:after="0" w:line="250"/>
            </w:pPr>
            <w:r>
              <w:rPr>
                <w:color w:val="1A1A1A"/>
                <w:sz w:val="19"/>
                <w:szCs w:val="19"/>
              </w:rPr>
              <w:t xml:space="preserve">Service connections into Prisma Access</w:t>
            </w:r>
          </w:p>
        </w:tc>
      </w:tr>
      <w:tr>
        <w:tc>
          <w:tcPr>
            <w:tcW w:type="dxa" w:w="1700"/>
            <w:tcMar>
              <w:top w:type="dxa" w:w="70"/>
              <w:left w:type="dxa" w:w="100"/>
              <w:bottom w:type="dxa" w:w="70"/>
              <w:right w:type="dxa" w:w="100"/>
            </w:tcMar>
          </w:tcPr>
          <w:p>
            <w:pPr>
              <w:spacing w:after="0" w:line="250"/>
            </w:pPr>
            <w:r>
              <w:rPr>
                <w:color w:val="1A1A1A"/>
                <w:sz w:val="19"/>
                <w:szCs w:val="19"/>
              </w:rPr>
              <w:t xml:space="preserve">Colo</w:t>
            </w:r>
          </w:p>
        </w:tc>
        <w:tc>
          <w:tcPr>
            <w:tcW w:type="dxa" w:w="3400"/>
            <w:tcMar>
              <w:top w:type="dxa" w:w="70"/>
              <w:left w:type="dxa" w:w="100"/>
              <w:bottom w:type="dxa" w:w="70"/>
              <w:right w:type="dxa" w:w="100"/>
            </w:tcMar>
          </w:tcPr>
          <w:p>
            <w:pPr>
              <w:spacing w:after="0" w:line="250"/>
            </w:pPr>
            <w:r>
              <w:rPr>
                <w:color w:val="1A1A1A"/>
                <w:sz w:val="19"/>
                <w:szCs w:val="19"/>
              </w:rPr>
              <w:t xml:space="preserve">Internet egress plus private interconnect</w:t>
            </w:r>
          </w:p>
        </w:tc>
        <w:tc>
          <w:tcPr>
            <w:tcW w:type="dxa" w:w="3926"/>
            <w:tcMar>
              <w:top w:type="dxa" w:w="70"/>
              <w:left w:type="dxa" w:w="100"/>
              <w:bottom w:type="dxa" w:w="70"/>
              <w:right w:type="dxa" w:w="100"/>
            </w:tcMar>
          </w:tcPr>
          <w:p>
            <w:pPr>
              <w:spacing w:after="0" w:line="250"/>
            </w:pPr>
            <w:r>
              <w:rPr>
                <w:color w:val="1A1A1A"/>
                <w:sz w:val="19"/>
                <w:szCs w:val="19"/>
              </w:rPr>
              <w:t xml:space="preserve">Private interconnect only</w:t>
            </w:r>
          </w:p>
        </w:tc>
      </w:tr>
      <w:tr>
        <w:tc>
          <w:tcPr>
            <w:tcW w:type="dxa" w:w="1700"/>
            <w:tcMar>
              <w:top w:type="dxa" w:w="70"/>
              <w:left w:type="dxa" w:w="100"/>
              <w:bottom w:type="dxa" w:w="70"/>
              <w:right w:type="dxa" w:w="100"/>
            </w:tcMar>
          </w:tcPr>
          <w:p>
            <w:pPr>
              <w:spacing w:after="0" w:line="250"/>
            </w:pPr>
            <w:r>
              <w:rPr>
                <w:color w:val="1A1A1A"/>
                <w:sz w:val="19"/>
                <w:szCs w:val="19"/>
              </w:rPr>
              <w:t xml:space="preserve">Regions</w:t>
            </w:r>
          </w:p>
        </w:tc>
        <w:tc>
          <w:tcPr>
            <w:tcW w:type="dxa" w:w="3400"/>
            <w:tcMar>
              <w:top w:type="dxa" w:w="70"/>
              <w:left w:type="dxa" w:w="100"/>
              <w:bottom w:type="dxa" w:w="70"/>
              <w:right w:type="dxa" w:w="100"/>
            </w:tcMar>
          </w:tcPr>
          <w:p>
            <w:pPr>
              <w:spacing w:after="0" w:line="250"/>
            </w:pPr>
            <w:r>
              <w:rPr>
                <w:color w:val="1A1A1A"/>
                <w:sz w:val="19"/>
                <w:szCs w:val="19"/>
              </w:rPr>
              <w:t xml:space="preserve">One policy set applied everywhere</w:t>
            </w:r>
          </w:p>
        </w:tc>
        <w:tc>
          <w:tcPr>
            <w:tcW w:type="dxa" w:w="3926"/>
            <w:tcMar>
              <w:top w:type="dxa" w:w="70"/>
              <w:left w:type="dxa" w:w="100"/>
              <w:bottom w:type="dxa" w:w="70"/>
              <w:right w:type="dxa" w:w="100"/>
            </w:tcMar>
          </w:tcPr>
          <w:p>
            <w:pPr>
              <w:spacing w:after="0" w:line="250"/>
            </w:pPr>
            <w:r>
              <w:rPr>
                <w:color w:val="1A1A1A"/>
                <w:sz w:val="19"/>
                <w:szCs w:val="19"/>
              </w:rPr>
              <w:t xml:space="preserve">EU in-region inspection and retention; UK regulated under PRA/FCA; APAC local data handling and a different permitted-destination set; US highest throughput, loosest policy</w:t>
            </w:r>
          </w:p>
        </w:tc>
      </w:tr>
    </w:tbl>
    <w:p>
      <w:pPr>
        <w:spacing w:after="140" w:line="276"/>
      </w:pPr>
      <w:r>
        <w:rPr>
          <w:color w:val="1A1A1A"/>
          <w:sz w:val="21"/>
          <w:szCs w:val="21"/>
        </w:rPr>
        <w:t xml:space="preserve">Scale as briefed: ~14,000 remote users at peak, 40 sites, 3 clouds, 11 regions, ~9 TB/day aggregate egress, ~2,400 allow-listed FQDNs.</w:t>
      </w:r>
    </w:p>
    <w:p>
      <w:pPr>
        <w:pStyle w:val="Heading2"/>
        <w:spacing w:after="120" w:before="280"/>
      </w:pPr>
      <w:r>
        <w:rPr>
          <w:b/>
          <w:bCs/>
          <w:color w:val="1F4E79"/>
          <w:sz w:val="24"/>
          <w:szCs w:val="24"/>
        </w:rPr>
        <w:t xml:space="preserve">4.2 The flow</w:t>
      </w:r>
    </w:p>
    <w:p>
      <w:pPr>
        <w:spacing w:after="140" w:line="276"/>
      </w:pPr>
      <w:r>
        <w:rPr>
          <w:color w:val="1A1A1A"/>
          <w:sz w:val="21"/>
          <w:szCs w:val="21"/>
        </w:rPr>
        <w:t xml:space="preserve">Ten steps. Every arrow is a hand-off, and every hand-off carries something specific.</w:t>
      </w:r>
    </w:p>
    <w:p>
      <w:pPr>
        <w:pStyle w:val="Heading3"/>
        <w:spacing w:after="100" w:before="220"/>
      </w:pPr>
      <w:r>
        <w:rPr>
          <w:b/>
          <w:bCs/>
          <w:color w:val="1A1A1A"/>
          <w:sz w:val="21"/>
          <w:szCs w:val="21"/>
        </w:rPr>
        <w:t xml:space="preserve">Step 1 — Intake</w:t>
      </w:r>
    </w:p>
    <w:p>
      <w:pPr>
        <w:spacing w:after="140" w:line="276"/>
      </w:pPr>
      <w:r>
        <w:rPr>
          <w:color w:val="1A1A1A"/>
          <w:sz w:val="21"/>
          <w:szCs w:val="21"/>
        </w:rPr>
        <w:t xml:space="preserve">A human hands the brief to master-architect. Nothing is interpreted yet.</w:t>
      </w:r>
    </w:p>
    <w:p>
      <w:pPr>
        <w:pStyle w:val="Heading3"/>
        <w:spacing w:after="100" w:before="220"/>
      </w:pPr>
      <w:r>
        <w:rPr>
          <w:b/>
          <w:bCs/>
          <w:color w:val="1A1A1A"/>
          <w:sz w:val="21"/>
          <w:szCs w:val="21"/>
        </w:rPr>
        <w:t xml:space="preserve">Step 2 — Run the engine</w:t>
      </w:r>
    </w:p>
    <w:p>
      <w:pPr>
        <w:spacing w:after="140" w:line="276"/>
      </w:pPr>
      <w:r>
        <w:rPr>
          <w:color w:val="1A1A1A"/>
          <w:sz w:val="21"/>
          <w:szCs w:val="21"/>
        </w:rPr>
        <w:t xml:space="preserve">master-architect runs the engine, which grades the brief T3 and produces a base plate across the nine validator domains in under a second. This is the mechanical work; it is not the assessment.</w:t>
      </w:r>
    </w:p>
    <w:p>
      <w:pPr>
        <w:shd w:fill="F4F6F9" w:val="clear"/>
        <w:spacing w:after="160" w:line="240"/>
        <w:ind w:left="170" w:right="170"/>
      </w:pPr>
      <w:r>
        <w:rPr>
          <w:rFonts w:ascii="Consolas" w:cs="Consolas" w:eastAsia="Consolas" w:hAnsi="Consolas"/>
          <w:color w:val="22303F"/>
          <w:sz w:val="18"/>
          <w:szCs w:val="18"/>
        </w:rPr>
        <w:t xml:space="preserve">python3 -m eas new --brief briefs/example-sase-migration.md</w:t>
      </w:r>
    </w:p>
    <w:p>
      <w:pPr>
        <w:spacing w:after="140" w:line="276"/>
      </w:pPr>
      <w:r>
        <w:rPr>
          <w:color w:val="1A1A1A"/>
          <w:sz w:val="21"/>
          <w:szCs w:val="21"/>
        </w:rPr>
        <w:t xml:space="preserve">Result: T3, verdict Not yet a base plate, 0 contradictions, 61 unpinned sizing-critical anchors, 30 blocking questions, estimate 13.4–30.9 months. The engine repaired two domain choices to reconcile: integration INT-04 → INT-02, and data DATA-03 → DATA-04, the sovereign enclave position, because the brief makes residency non-negotiable.</w:t>
      </w:r>
    </w:p>
    <w:p>
      <w:pPr>
        <w:pStyle w:val="Heading3"/>
        <w:spacing w:after="100" w:before="220"/>
      </w:pPr>
      <w:r>
        <w:rPr>
          <w:b/>
          <w:bCs/>
          <w:color w:val="1A1A1A"/>
          <w:sz w:val="21"/>
          <w:szCs w:val="21"/>
        </w:rPr>
        <w:t xml:space="preserve">Step 3 — Master to Domain Architect</w:t>
      </w:r>
    </w:p>
    <w:p>
      <w:pPr>
        <w:spacing w:after="140" w:line="276"/>
      </w:pPr>
      <w:r>
        <w:rPr>
          <w:color w:val="1A1A1A"/>
          <w:sz w:val="21"/>
          <w:szCs w:val="21"/>
        </w:rPr>
        <w:t xml:space="preserve">master-architect engages architect-infra, because on a SASE migration the network domain holds the load. The hand-off is the brief plus the engine's network position, plus the specific question: does this position survive eleven regions with different requirements?</w:t>
      </w:r>
    </w:p>
    <w:p>
      <w:pPr>
        <w:pStyle w:val="Heading3"/>
        <w:spacing w:after="100" w:before="220"/>
      </w:pPr>
      <w:r>
        <w:rPr>
          <w:b/>
          <w:bCs/>
          <w:color w:val="1A1A1A"/>
          <w:sz w:val="21"/>
          <w:szCs w:val="21"/>
        </w:rPr>
        <w:t xml:space="preserve">Step 4 — Domain Architect fans out, in isolation</w:t>
      </w:r>
    </w:p>
    <w:p>
      <w:pPr>
        <w:spacing w:after="140" w:line="276"/>
      </w:pPr>
      <w:r>
        <w:rPr>
          <w:color w:val="1A1A1A"/>
          <w:sz w:val="21"/>
          <w:szCs w:val="21"/>
        </w:rPr>
        <w:t xml:space="preserve">architect-infra engages three SMEs separately, and does not show any of them another's output:</w:t>
      </w:r>
    </w:p>
    <w:p>
      <w:pPr>
        <w:pStyle w:val="ListParagraph"/>
        <w:numPr>
          <w:ilvl w:val="0"/>
          <w:numId w:val="2"/>
        </w:numPr>
        <w:spacing w:after="80" w:line="276"/>
      </w:pPr>
      <w:r>
        <w:rPr>
          <w:color w:val="1A1A1A"/>
          <w:sz w:val="21"/>
          <w:szCs w:val="21"/>
        </w:rPr>
        <w:t xml:space="preserve">sme-network-security — the egress, DNS and private connectivity position</w:t>
      </w:r>
    </w:p>
    <w:p>
      <w:pPr>
        <w:pStyle w:val="ListParagraph"/>
        <w:numPr>
          <w:ilvl w:val="0"/>
          <w:numId w:val="2"/>
        </w:numPr>
        <w:spacing w:after="80" w:line="276"/>
      </w:pPr>
      <w:r>
        <w:rPr>
          <w:color w:val="1A1A1A"/>
          <w:sz w:val="21"/>
          <w:szCs w:val="21"/>
        </w:rPr>
        <w:t xml:space="preserve">sme-endpoint-security — remote user device posture, since remote users are now in the inspection path</w:t>
      </w:r>
    </w:p>
    <w:p>
      <w:pPr>
        <w:pStyle w:val="ListParagraph"/>
        <w:numPr>
          <w:ilvl w:val="0"/>
          <w:numId w:val="2"/>
        </w:numPr>
        <w:spacing w:after="80" w:line="276"/>
      </w:pPr>
      <w:r>
        <w:rPr>
          <w:color w:val="1A1A1A"/>
          <w:sz w:val="21"/>
          <w:szCs w:val="21"/>
        </w:rPr>
        <w:t xml:space="preserve">sme-mobile-security — the mobile access path and certificate pinning</w:t>
      </w:r>
    </w:p>
    <w:p>
      <w:pPr>
        <w:pStyle w:val="Heading3"/>
        <w:spacing w:after="100" w:before="220"/>
      </w:pPr>
      <w:r>
        <w:rPr>
          <w:b/>
          <w:bCs/>
          <w:color w:val="1A1A1A"/>
          <w:sz w:val="21"/>
          <w:szCs w:val="21"/>
        </w:rPr>
        <w:t xml:space="preserve">Step 5 — An SME refuses to assume</w:t>
      </w:r>
    </w:p>
    <w:p>
      <w:pPr>
        <w:spacing w:after="140" w:line="276"/>
      </w:pPr>
      <w:r>
        <w:rPr>
          <w:color w:val="1A1A1A"/>
          <w:sz w:val="21"/>
          <w:szCs w:val="21"/>
        </w:rPr>
        <w:t xml:space="preserve">sme-network-security returns its position and, from its never-assume list, three things it will not take on trust:</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2600"/>
        <w:gridCol w:w="6426"/>
      </w:tblGrid>
      <w:tr>
        <w:trPr>
          <w:tblHeader/>
        </w:trPr>
        <w:tc>
          <w:tcPr>
            <w:tcW w:type="dxa" w:w="2600"/>
            <w:shd w:fill="EDF1F6" w:val="clear"/>
            <w:tcMar>
              <w:top w:type="dxa" w:w="70"/>
              <w:left w:type="dxa" w:w="100"/>
              <w:bottom w:type="dxa" w:w="70"/>
              <w:right w:type="dxa" w:w="100"/>
            </w:tcMar>
          </w:tcPr>
          <w:p>
            <w:pPr>
              <w:spacing w:after="0" w:line="250"/>
            </w:pPr>
            <w:r>
              <w:rPr>
                <w:b/>
                <w:bCs/>
                <w:color w:val="22303F"/>
                <w:sz w:val="18"/>
                <w:szCs w:val="18"/>
              </w:rPr>
              <w:t xml:space="preserve">It will not assume</w:t>
            </w:r>
          </w:p>
        </w:tc>
        <w:tc>
          <w:tcPr>
            <w:tcW w:type="dxa" w:w="6426"/>
            <w:shd w:fill="EDF1F6" w:val="clear"/>
            <w:tcMar>
              <w:top w:type="dxa" w:w="70"/>
              <w:left w:type="dxa" w:w="100"/>
              <w:bottom w:type="dxa" w:w="70"/>
              <w:right w:type="dxa" w:w="100"/>
            </w:tcMar>
          </w:tcPr>
          <w:p>
            <w:pPr>
              <w:spacing w:after="0" w:line="250"/>
            </w:pPr>
            <w:r>
              <w:rPr>
                <w:b/>
                <w:bCs/>
                <w:color w:val="22303F"/>
                <w:sz w:val="18"/>
                <w:szCs w:val="18"/>
              </w:rPr>
              <w:t xml:space="preserve">So it asks</w:t>
            </w:r>
          </w:p>
        </w:tc>
      </w:tr>
      <w:tr>
        <w:tc>
          <w:tcPr>
            <w:tcW w:type="dxa" w:w="2600"/>
            <w:tcMar>
              <w:top w:type="dxa" w:w="70"/>
              <w:left w:type="dxa" w:w="100"/>
              <w:bottom w:type="dxa" w:w="70"/>
              <w:right w:type="dxa" w:w="100"/>
            </w:tcMar>
          </w:tcPr>
          <w:p>
            <w:pPr>
              <w:spacing w:after="0" w:line="250"/>
            </w:pPr>
            <w:r>
              <w:rPr>
                <w:color w:val="1A1A1A"/>
                <w:sz w:val="19"/>
                <w:szCs w:val="19"/>
              </w:rPr>
              <w:t xml:space="preserve">That the egress path is where the design says</w:t>
            </w:r>
          </w:p>
        </w:tc>
        <w:tc>
          <w:tcPr>
            <w:tcW w:type="dxa" w:w="6426"/>
            <w:tcMar>
              <w:top w:type="dxa" w:w="70"/>
              <w:left w:type="dxa" w:w="100"/>
              <w:bottom w:type="dxa" w:w="70"/>
              <w:right w:type="dxa" w:w="100"/>
            </w:tcMar>
          </w:tcPr>
          <w:p>
            <w:pPr>
              <w:spacing w:after="0" w:line="250"/>
            </w:pPr>
            <w:r>
              <w:rPr>
                <w:color w:val="1A1A1A"/>
                <w:sz w:val="19"/>
                <w:szCs w:val="19"/>
              </w:rPr>
              <w:t xml:space="preserve">Where does outbound actually egress in each environment, and is it inspected there? Dev-Test currently egresses through a cloud NAT gateway with no inspection at all — is that in scope or accepted?</w:t>
            </w:r>
          </w:p>
        </w:tc>
      </w:tr>
      <w:tr>
        <w:tc>
          <w:tcPr>
            <w:tcW w:type="dxa" w:w="2600"/>
            <w:tcMar>
              <w:top w:type="dxa" w:w="70"/>
              <w:left w:type="dxa" w:w="100"/>
              <w:bottom w:type="dxa" w:w="70"/>
              <w:right w:type="dxa" w:w="100"/>
            </w:tcMar>
          </w:tcPr>
          <w:p>
            <w:pPr>
              <w:spacing w:after="0" w:line="250"/>
            </w:pPr>
            <w:r>
              <w:rPr>
                <w:color w:val="1A1A1A"/>
                <w:sz w:val="19"/>
                <w:szCs w:val="19"/>
              </w:rPr>
              <w:t xml:space="preserve">That name resolution is intentional</w:t>
            </w:r>
          </w:p>
        </w:tc>
        <w:tc>
          <w:tcPr>
            <w:tcW w:type="dxa" w:w="6426"/>
            <w:tcMar>
              <w:top w:type="dxa" w:w="70"/>
              <w:left w:type="dxa" w:w="100"/>
              <w:bottom w:type="dxa" w:w="70"/>
              <w:right w:type="dxa" w:w="100"/>
            </w:tcMar>
          </w:tcPr>
          <w:p>
            <w:pPr>
              <w:spacing w:after="0" w:line="250"/>
            </w:pPr>
            <w:r>
              <w:rPr>
                <w:color w:val="1A1A1A"/>
                <w:sz w:val="19"/>
                <w:szCs w:val="19"/>
              </w:rPr>
              <w:t xml:space="preserve">Does any name resolve differently across environments, and was that decided? The colo DNS forwarders are retiring and their behaviour is inherited, not documented.</w:t>
            </w:r>
          </w:p>
        </w:tc>
      </w:tr>
      <w:tr>
        <w:tc>
          <w:tcPr>
            <w:tcW w:type="dxa" w:w="2600"/>
            <w:tcMar>
              <w:top w:type="dxa" w:w="70"/>
              <w:left w:type="dxa" w:w="100"/>
              <w:bottom w:type="dxa" w:w="70"/>
              <w:right w:type="dxa" w:w="100"/>
            </w:tcMar>
          </w:tcPr>
          <w:p>
            <w:pPr>
              <w:spacing w:after="0" w:line="250"/>
            </w:pPr>
            <w:r>
              <w:rPr>
                <w:color w:val="1A1A1A"/>
                <w:sz w:val="19"/>
                <w:szCs w:val="19"/>
              </w:rPr>
              <w:t xml:space="preserve">That allow-listing constrains the destination</w:t>
            </w:r>
          </w:p>
        </w:tc>
        <w:tc>
          <w:tcPr>
            <w:tcW w:type="dxa" w:w="6426"/>
            <w:tcMar>
              <w:top w:type="dxa" w:w="70"/>
              <w:left w:type="dxa" w:w="100"/>
              <w:bottom w:type="dxa" w:w="70"/>
              <w:right w:type="dxa" w:w="100"/>
            </w:tcMar>
          </w:tcPr>
          <w:p>
            <w:pPr>
              <w:spacing w:after="0" w:line="250"/>
            </w:pPr>
            <w:r>
              <w:rPr>
                <w:color w:val="1A1A1A"/>
                <w:sz w:val="19"/>
                <w:szCs w:val="19"/>
              </w:rPr>
              <w:t xml:space="preserve">2,400 FQDNs is the count — but how many are IP-range entries to shared cloud endpoints, which permit every tenant behind them?</w:t>
            </w:r>
          </w:p>
        </w:tc>
      </w:tr>
    </w:tbl>
    <w:p>
      <w:pPr>
        <w:pStyle w:val="Heading3"/>
        <w:spacing w:after="100" w:before="220"/>
      </w:pPr>
      <w:r>
        <w:rPr>
          <w:b/>
          <w:bCs/>
          <w:color w:val="1A1A1A"/>
          <w:sz w:val="21"/>
          <w:szCs w:val="21"/>
        </w:rPr>
        <w:t xml:space="preserve">Step 6 — Same-domain hand-off, routed through the Architect</w:t>
      </w:r>
    </w:p>
    <w:p>
      <w:pPr>
        <w:spacing w:after="140" w:line="276"/>
      </w:pPr>
      <w:r>
        <w:rPr>
          <w:color w:val="1A1A1A"/>
          <w:sz w:val="21"/>
          <w:szCs w:val="21"/>
        </w:rPr>
        <w:t xml:space="preserve">sme-network-security needs to know whether remote user devices can carry a posture signal the SASE tier could use. It does not contact sme-endpoint-security. It returns a routing request to architect-infra, which decides to make it. This is a hand-off within the domain and it never reaches the Master Architect.</w:t>
      </w:r>
    </w:p>
    <w:p>
      <w:pPr>
        <w:pBdr>
          <w:left w:val="single" w:color="C8912B" w:sz="18"/>
        </w:pBdr>
        <w:shd w:fill="FBF7EC" w:val="clear"/>
        <w:spacing w:after="160" w:before="100" w:line="276"/>
        <w:ind w:left="170" w:right="170"/>
      </w:pPr>
      <w:r>
        <w:rPr>
          <w:color w:val="4A3A16"/>
          <w:sz w:val="20"/>
          <w:szCs w:val="20"/>
        </w:rPr>
        <w:t xml:space="preserve">This is the rule doing work. If the SME had asked its peer directly, the Architect would not have known the dependency existed, and it would not have appeared in the domain position.</w:t>
      </w:r>
    </w:p>
    <w:p>
      <w:pPr>
        <w:pStyle w:val="Heading3"/>
        <w:spacing w:after="100" w:before="220"/>
      </w:pPr>
      <w:r>
        <w:rPr>
          <w:b/>
          <w:bCs/>
          <w:color w:val="1A1A1A"/>
          <w:sz w:val="21"/>
          <w:szCs w:val="21"/>
        </w:rPr>
        <w:t xml:space="preserve">Step 7 — Cross-domain dependency, escalated not resolved</w:t>
      </w:r>
    </w:p>
    <w:p>
      <w:pPr>
        <w:spacing w:after="140" w:line="276"/>
      </w:pPr>
      <w:r>
        <w:rPr>
          <w:color w:val="1A1A1A"/>
          <w:sz w:val="21"/>
          <w:szCs w:val="21"/>
        </w:rPr>
        <w:t xml:space="preserve">sme-network-security identifies the thing that actually decides this migration: inspection means decryption, and decryption is processing. Where Prisma Access decrypts is where data is processed. That is a data residency question, and the network SME must not answer it.</w:t>
      </w:r>
    </w:p>
    <w:p>
      <w:pPr>
        <w:spacing w:after="140" w:line="276"/>
      </w:pPr>
      <w:r>
        <w:rPr>
          <w:color w:val="1A1A1A"/>
          <w:sz w:val="21"/>
          <w:szCs w:val="21"/>
        </w:rPr>
        <w:t xml:space="preserve">It returns a cross-domain dependency. architect-infra confirms it cannot be resolved inside the infrastructure domain and escalates to master-architect with the specific dependency, the SME position that created it, and what it needs back — not the whole domain output.</w:t>
      </w:r>
    </w:p>
    <w:p>
      <w:pPr>
        <w:pStyle w:val="Heading3"/>
        <w:spacing w:after="100" w:before="220"/>
      </w:pPr>
      <w:r>
        <w:rPr>
          <w:b/>
          <w:bCs/>
          <w:color w:val="1A1A1A"/>
          <w:sz w:val="21"/>
          <w:szCs w:val="21"/>
        </w:rPr>
        <w:t xml:space="preserve">Step 8 — Master routes to the owning domain</w:t>
      </w:r>
    </w:p>
    <w:p>
      <w:pPr>
        <w:spacing w:after="140" w:line="276"/>
      </w:pPr>
      <w:r>
        <w:rPr>
          <w:color w:val="1A1A1A"/>
          <w:sz w:val="21"/>
          <w:szCs w:val="21"/>
        </w:rPr>
        <w:t xml:space="preserve">master-architect engages architect-data, which engages sme-data-residency in isolation. That SME's never-assume list produces the question nobody had asked:</w:t>
      </w:r>
    </w:p>
    <w:p>
      <w:pPr>
        <w:pBdr>
          <w:left w:val="single" w:color="C8912B" w:sz="18"/>
        </w:pBdr>
        <w:shd w:fill="FBF7EC" w:val="clear"/>
        <w:spacing w:after="160" w:before="100" w:line="276"/>
        <w:ind w:left="170" w:right="170"/>
      </w:pPr>
      <w:r>
        <w:rPr>
          <w:color w:val="4A3A16"/>
          <w:sz w:val="20"/>
          <w:szCs w:val="20"/>
        </w:rPr>
        <w:t xml:space="preserve">"Trace every failover and replication path — does any leave the declared boundary under any failure mode?" Applied here: when an EU user roams to the US, which gateway decrypts their traffic, and does that put EU data through US processing? And when a regional gateway fails, where does its traffic fail over to?</w:t>
      </w:r>
    </w:p>
    <w:p>
      <w:pPr>
        <w:pStyle w:val="Heading3"/>
        <w:spacing w:after="100" w:before="220"/>
      </w:pPr>
      <w:r>
        <w:rPr>
          <w:b/>
          <w:bCs/>
          <w:color w:val="1A1A1A"/>
          <w:sz w:val="21"/>
          <w:szCs w:val="21"/>
        </w:rPr>
        <w:t xml:space="preserve">Step 9 — The Assumed state surfaces</w:t>
      </w:r>
    </w:p>
    <w:p>
      <w:pPr>
        <w:spacing w:after="140" w:line="276"/>
      </w:pPr>
      <w:r>
        <w:rPr>
          <w:color w:val="1A1A1A"/>
          <w:sz w:val="21"/>
          <w:szCs w:val="21"/>
        </w:rPr>
        <w:t xml:space="preserve">master-architect now holds both domain positions and finds what neither Architect could see:</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2000"/>
        <w:gridCol w:w="7026"/>
      </w:tblGrid>
      <w:tr>
        <w:trPr>
          <w:tblHeader/>
        </w:trPr>
        <w:tc>
          <w:tcPr>
            <w:tcW w:type="dxa" w:w="2000"/>
            <w:shd w:fill="EDF1F6" w:val="clear"/>
            <w:tcMar>
              <w:top w:type="dxa" w:w="70"/>
              <w:left w:type="dxa" w:w="100"/>
              <w:bottom w:type="dxa" w:w="70"/>
              <w:right w:type="dxa" w:w="100"/>
            </w:tcMar>
          </w:tcPr>
          <w:p>
            <w:pPr>
              <w:spacing w:after="0" w:line="250"/>
            </w:pPr>
            <w:r>
              <w:rPr>
                <w:b/>
                <w:bCs/>
                <w:color w:val="22303F"/>
                <w:sz w:val="18"/>
                <w:szCs w:val="18"/>
              </w:rPr>
              <w:t xml:space="preserve">Domain</w:t>
            </w:r>
          </w:p>
        </w:tc>
        <w:tc>
          <w:tcPr>
            <w:tcW w:type="dxa" w:w="7026"/>
            <w:shd w:fill="EDF1F6" w:val="clear"/>
            <w:tcMar>
              <w:top w:type="dxa" w:w="70"/>
              <w:left w:type="dxa" w:w="100"/>
              <w:bottom w:type="dxa" w:w="70"/>
              <w:right w:type="dxa" w:w="100"/>
            </w:tcMar>
          </w:tcPr>
          <w:p>
            <w:pPr>
              <w:spacing w:after="0" w:line="250"/>
            </w:pPr>
            <w:r>
              <w:rPr>
                <w:b/>
                <w:bCs/>
                <w:color w:val="22303F"/>
                <w:sz w:val="18"/>
                <w:szCs w:val="18"/>
              </w:rPr>
              <w:t xml:space="preserve">What it assumed</w:t>
            </w:r>
          </w:p>
        </w:tc>
      </w:tr>
      <w:tr>
        <w:tc>
          <w:tcPr>
            <w:tcW w:type="dxa" w:w="2000"/>
            <w:tcMar>
              <w:top w:type="dxa" w:w="70"/>
              <w:left w:type="dxa" w:w="100"/>
              <w:bottom w:type="dxa" w:w="70"/>
              <w:right w:type="dxa" w:w="100"/>
            </w:tcMar>
          </w:tcPr>
          <w:p>
            <w:pPr>
              <w:spacing w:after="0" w:line="250"/>
            </w:pPr>
            <w:r>
              <w:rPr>
                <w:color w:val="1A1A1A"/>
                <w:sz w:val="19"/>
                <w:szCs w:val="19"/>
              </w:rPr>
              <w:t xml:space="preserve">Infrastructure</w:t>
            </w:r>
          </w:p>
        </w:tc>
        <w:tc>
          <w:tcPr>
            <w:tcW w:type="dxa" w:w="7026"/>
            <w:tcMar>
              <w:top w:type="dxa" w:w="70"/>
              <w:left w:type="dxa" w:w="100"/>
              <w:bottom w:type="dxa" w:w="70"/>
              <w:right w:type="dxa" w:w="100"/>
            </w:tcMar>
          </w:tcPr>
          <w:p>
            <w:pPr>
              <w:spacing w:after="0" w:line="250"/>
            </w:pPr>
            <w:r>
              <w:rPr>
                <w:color w:val="1A1A1A"/>
                <w:sz w:val="19"/>
                <w:szCs w:val="19"/>
              </w:rPr>
              <w:t xml:space="preserve">That the data domain would state the residency boundary, and that Prisma Access gateway selection would respect it.</w:t>
            </w:r>
          </w:p>
        </w:tc>
      </w:tr>
      <w:tr>
        <w:tc>
          <w:tcPr>
            <w:tcW w:type="dxa" w:w="2000"/>
            <w:tcMar>
              <w:top w:type="dxa" w:w="70"/>
              <w:left w:type="dxa" w:w="100"/>
              <w:bottom w:type="dxa" w:w="70"/>
              <w:right w:type="dxa" w:w="100"/>
            </w:tcMar>
          </w:tcPr>
          <w:p>
            <w:pPr>
              <w:spacing w:after="0" w:line="250"/>
            </w:pPr>
            <w:r>
              <w:rPr>
                <w:color w:val="1A1A1A"/>
                <w:sz w:val="19"/>
                <w:szCs w:val="19"/>
              </w:rPr>
              <w:t xml:space="preserve">Data</w:t>
            </w:r>
          </w:p>
        </w:tc>
        <w:tc>
          <w:tcPr>
            <w:tcW w:type="dxa" w:w="7026"/>
            <w:tcMar>
              <w:top w:type="dxa" w:w="70"/>
              <w:left w:type="dxa" w:w="100"/>
              <w:bottom w:type="dxa" w:w="70"/>
              <w:right w:type="dxa" w:w="100"/>
            </w:tcMar>
          </w:tcPr>
          <w:p>
            <w:pPr>
              <w:spacing w:after="0" w:line="250"/>
            </w:pPr>
            <w:r>
              <w:rPr>
                <w:color w:val="1A1A1A"/>
                <w:sz w:val="19"/>
                <w:szCs w:val="19"/>
              </w:rPr>
              <w:t xml:space="preserve">That the infrastructure domain would keep inspection in-region, because that is what an in-region requirement implies.</w:t>
            </w:r>
          </w:p>
        </w:tc>
      </w:tr>
    </w:tbl>
    <w:p>
      <w:pPr>
        <w:spacing w:after="140" w:line="276"/>
      </w:pPr>
      <w:r>
        <w:rPr>
          <w:color w:val="1A1A1A"/>
          <w:sz w:val="21"/>
          <w:szCs w:val="21"/>
        </w:rPr>
        <w:t xml:space="preserve">Both domain outputs were internally complete. Neither had a gap. The dependency was real and unowned, and only the tier that sees both could find it. It becomes a blocking question with a named owner — Network Architect, with Legal Counsel — not an assumption either side fills in.</w:t>
      </w:r>
    </w:p>
    <w:p>
      <w:pPr>
        <w:pStyle w:val="Heading3"/>
        <w:spacing w:after="100" w:before="220"/>
      </w:pPr>
      <w:r>
        <w:rPr>
          <w:b/>
          <w:bCs/>
          <w:color w:val="1A1A1A"/>
          <w:sz w:val="21"/>
          <w:szCs w:val="21"/>
        </w:rPr>
        <w:t xml:space="preserve">Step 10 — The remaining domains, then grade</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1900"/>
        <w:gridCol w:w="2600"/>
        <w:gridCol w:w="4526"/>
      </w:tblGrid>
      <w:tr>
        <w:trPr>
          <w:tblHeader/>
        </w:trPr>
        <w:tc>
          <w:tcPr>
            <w:tcW w:type="dxa" w:w="1900"/>
            <w:shd w:fill="EDF1F6" w:val="clear"/>
            <w:tcMar>
              <w:top w:type="dxa" w:w="70"/>
              <w:left w:type="dxa" w:w="100"/>
              <w:bottom w:type="dxa" w:w="70"/>
              <w:right w:type="dxa" w:w="100"/>
            </w:tcMar>
          </w:tcPr>
          <w:p>
            <w:pPr>
              <w:spacing w:after="0" w:line="250"/>
            </w:pPr>
            <w:r>
              <w:rPr>
                <w:b/>
                <w:bCs/>
                <w:color w:val="22303F"/>
                <w:sz w:val="18"/>
                <w:szCs w:val="18"/>
              </w:rPr>
              <w:t xml:space="preserve">Architect</w:t>
            </w:r>
          </w:p>
        </w:tc>
        <w:tc>
          <w:tcPr>
            <w:tcW w:type="dxa" w:w="2600"/>
            <w:shd w:fill="EDF1F6" w:val="clear"/>
            <w:tcMar>
              <w:top w:type="dxa" w:w="70"/>
              <w:left w:type="dxa" w:w="100"/>
              <w:bottom w:type="dxa" w:w="70"/>
              <w:right w:type="dxa" w:w="100"/>
            </w:tcMar>
          </w:tcPr>
          <w:p>
            <w:pPr>
              <w:spacing w:after="0" w:line="250"/>
            </w:pPr>
            <w:r>
              <w:rPr>
                <w:b/>
                <w:bCs/>
                <w:color w:val="22303F"/>
                <w:sz w:val="18"/>
                <w:szCs w:val="18"/>
              </w:rPr>
              <w:t xml:space="preserve">Engaged because</w:t>
            </w:r>
          </w:p>
        </w:tc>
        <w:tc>
          <w:tcPr>
            <w:tcW w:type="dxa" w:w="4526"/>
            <w:shd w:fill="EDF1F6" w:val="clear"/>
            <w:tcMar>
              <w:top w:type="dxa" w:w="70"/>
              <w:left w:type="dxa" w:w="100"/>
              <w:bottom w:type="dxa" w:w="70"/>
              <w:right w:type="dxa" w:w="100"/>
            </w:tcMar>
          </w:tcPr>
          <w:p>
            <w:pPr>
              <w:spacing w:after="0" w:line="250"/>
            </w:pPr>
            <w:r>
              <w:rPr>
                <w:b/>
                <w:bCs/>
                <w:color w:val="22303F"/>
                <w:sz w:val="18"/>
                <w:szCs w:val="18"/>
              </w:rPr>
              <w:t xml:space="preserve">Key hand-off back</w:t>
            </w:r>
          </w:p>
        </w:tc>
      </w:tr>
      <w:tr>
        <w:tc>
          <w:tcPr>
            <w:tcW w:type="dxa" w:w="1900"/>
            <w:tcMar>
              <w:top w:type="dxa" w:w="70"/>
              <w:left w:type="dxa" w:w="100"/>
              <w:bottom w:type="dxa" w:w="70"/>
              <w:right w:type="dxa" w:w="100"/>
            </w:tcMar>
          </w:tcPr>
          <w:p>
            <w:pPr>
              <w:spacing w:after="0" w:line="250"/>
            </w:pPr>
            <w:r>
              <w:rPr>
                <w:color w:val="1A1A1A"/>
                <w:sz w:val="19"/>
                <w:szCs w:val="19"/>
              </w:rPr>
              <w:t xml:space="preserve">architect-iam</w:t>
            </w:r>
          </w:p>
        </w:tc>
        <w:tc>
          <w:tcPr>
            <w:tcW w:type="dxa" w:w="2600"/>
            <w:tcMar>
              <w:top w:type="dxa" w:w="70"/>
              <w:left w:type="dxa" w:w="100"/>
              <w:bottom w:type="dxa" w:w="70"/>
              <w:right w:type="dxa" w:w="100"/>
            </w:tcMar>
          </w:tcPr>
          <w:p>
            <w:pPr>
              <w:spacing w:after="0" w:line="250"/>
            </w:pPr>
            <w:r>
              <w:rPr>
                <w:color w:val="1A1A1A"/>
                <w:sz w:val="19"/>
                <w:szCs w:val="19"/>
              </w:rPr>
              <w:t xml:space="preserve">Users now authenticate to the SASE tier itself</w:t>
            </w:r>
          </w:p>
        </w:tc>
        <w:tc>
          <w:tcPr>
            <w:tcW w:type="dxa" w:w="4526"/>
            <w:tcMar>
              <w:top w:type="dxa" w:w="70"/>
              <w:left w:type="dxa" w:w="100"/>
              <w:bottom w:type="dxa" w:w="70"/>
              <w:right w:type="dxa" w:w="100"/>
            </w:tcMar>
          </w:tcPr>
          <w:p>
            <w:pPr>
              <w:spacing w:after="0" w:line="250"/>
            </w:pPr>
            <w:r>
              <w:rPr>
                <w:color w:val="1A1A1A"/>
                <w:sz w:val="19"/>
                <w:szCs w:val="19"/>
              </w:rPr>
              <w:t xml:space="preserve">sme-federation-sso: the federation trust inventory must include the new trust, and revocation latency for it must be stated</w:t>
            </w:r>
          </w:p>
        </w:tc>
      </w:tr>
      <w:tr>
        <w:tc>
          <w:tcPr>
            <w:tcW w:type="dxa" w:w="1900"/>
            <w:tcMar>
              <w:top w:type="dxa" w:w="70"/>
              <w:left w:type="dxa" w:w="100"/>
              <w:bottom w:type="dxa" w:w="70"/>
              <w:right w:type="dxa" w:w="100"/>
            </w:tcMar>
          </w:tcPr>
          <w:p>
            <w:pPr>
              <w:spacing w:after="0" w:line="250"/>
            </w:pPr>
            <w:r>
              <w:rPr>
                <w:color w:val="1A1A1A"/>
                <w:sz w:val="19"/>
                <w:szCs w:val="19"/>
              </w:rPr>
              <w:t xml:space="preserve">architect-grc</w:t>
            </w:r>
          </w:p>
        </w:tc>
        <w:tc>
          <w:tcPr>
            <w:tcW w:type="dxa" w:w="2600"/>
            <w:tcMar>
              <w:top w:type="dxa" w:w="70"/>
              <w:left w:type="dxa" w:w="100"/>
              <w:bottom w:type="dxa" w:w="70"/>
              <w:right w:type="dxa" w:w="100"/>
            </w:tcMar>
          </w:tcPr>
          <w:p>
            <w:pPr>
              <w:spacing w:after="0" w:line="250"/>
            </w:pPr>
            <w:r>
              <w:rPr>
                <w:color w:val="1A1A1A"/>
                <w:sz w:val="19"/>
                <w:szCs w:val="19"/>
              </w:rPr>
              <w:t xml:space="preserve">Prisma Access becomes a dependency for every user's traffic</w:t>
            </w:r>
          </w:p>
        </w:tc>
        <w:tc>
          <w:tcPr>
            <w:tcW w:type="dxa" w:w="4526"/>
            <w:tcMar>
              <w:top w:type="dxa" w:w="70"/>
              <w:left w:type="dxa" w:w="100"/>
              <w:bottom w:type="dxa" w:w="70"/>
              <w:right w:type="dxa" w:w="100"/>
            </w:tcMar>
          </w:tcPr>
          <w:p>
            <w:pPr>
              <w:spacing w:after="0" w:line="250"/>
            </w:pPr>
            <w:r>
              <w:rPr>
                <w:color w:val="1A1A1A"/>
                <w:sz w:val="19"/>
                <w:szCs w:val="19"/>
              </w:rPr>
              <w:t xml:space="preserve">sme-third-party-risk: this is a materiality and probable CTP assessment, with a costed exit plan — the engine flagged the same thing</w:t>
            </w:r>
          </w:p>
        </w:tc>
      </w:tr>
      <w:tr>
        <w:tc>
          <w:tcPr>
            <w:tcW w:type="dxa" w:w="1900"/>
            <w:tcMar>
              <w:top w:type="dxa" w:w="70"/>
              <w:left w:type="dxa" w:w="100"/>
              <w:bottom w:type="dxa" w:w="70"/>
              <w:right w:type="dxa" w:w="100"/>
            </w:tcMar>
          </w:tcPr>
          <w:p>
            <w:pPr>
              <w:spacing w:after="0" w:line="250"/>
            </w:pPr>
            <w:r>
              <w:rPr>
                <w:color w:val="1A1A1A"/>
                <w:sz w:val="19"/>
                <w:szCs w:val="19"/>
              </w:rPr>
              <w:t xml:space="preserve">architect-secops</w:t>
            </w:r>
          </w:p>
        </w:tc>
        <w:tc>
          <w:tcPr>
            <w:tcW w:type="dxa" w:w="2600"/>
            <w:tcMar>
              <w:top w:type="dxa" w:w="70"/>
              <w:left w:type="dxa" w:w="100"/>
              <w:bottom w:type="dxa" w:w="70"/>
              <w:right w:type="dxa" w:w="100"/>
            </w:tcMar>
          </w:tcPr>
          <w:p>
            <w:pPr>
              <w:spacing w:after="0" w:line="250"/>
            </w:pPr>
            <w:r>
              <w:rPr>
                <w:color w:val="1A1A1A"/>
                <w:sz w:val="19"/>
                <w:szCs w:val="19"/>
              </w:rPr>
              <w:t xml:space="preserve">Logs move from the colo stack to Prisma Access</w:t>
            </w:r>
          </w:p>
        </w:tc>
        <w:tc>
          <w:tcPr>
            <w:tcW w:type="dxa" w:w="4526"/>
            <w:tcMar>
              <w:top w:type="dxa" w:w="70"/>
              <w:left w:type="dxa" w:w="100"/>
              <w:bottom w:type="dxa" w:w="70"/>
              <w:right w:type="dxa" w:w="100"/>
            </w:tcMar>
          </w:tcPr>
          <w:p>
            <w:pPr>
              <w:spacing w:after="0" w:line="250"/>
            </w:pPr>
            <w:r>
              <w:rPr>
                <w:color w:val="1A1A1A"/>
                <w:sz w:val="19"/>
                <w:szCs w:val="19"/>
              </w:rPr>
              <w:t xml:space="preserve">sme-security-monitoring-siem: existing colo sources disappear. Which were Type 1, and has the monitoring function been told they are being replaced?</w:t>
            </w:r>
          </w:p>
        </w:tc>
      </w:tr>
      <w:tr>
        <w:tc>
          <w:tcPr>
            <w:tcW w:type="dxa" w:w="1900"/>
            <w:tcMar>
              <w:top w:type="dxa" w:w="70"/>
              <w:left w:type="dxa" w:w="100"/>
              <w:bottom w:type="dxa" w:w="70"/>
              <w:right w:type="dxa" w:w="100"/>
            </w:tcMar>
          </w:tcPr>
          <w:p>
            <w:pPr>
              <w:spacing w:after="0" w:line="250"/>
            </w:pPr>
            <w:r>
              <w:rPr>
                <w:color w:val="1A1A1A"/>
                <w:sz w:val="19"/>
                <w:szCs w:val="19"/>
              </w:rPr>
              <w:t xml:space="preserve">architect-res</w:t>
            </w:r>
          </w:p>
        </w:tc>
        <w:tc>
          <w:tcPr>
            <w:tcW w:type="dxa" w:w="2600"/>
            <w:tcMar>
              <w:top w:type="dxa" w:w="70"/>
              <w:left w:type="dxa" w:w="100"/>
              <w:bottom w:type="dxa" w:w="70"/>
              <w:right w:type="dxa" w:w="100"/>
            </w:tcMar>
          </w:tcPr>
          <w:p>
            <w:pPr>
              <w:spacing w:after="0" w:line="250"/>
            </w:pPr>
            <w:r>
              <w:rPr>
                <w:color w:val="1A1A1A"/>
                <w:sz w:val="19"/>
                <w:szCs w:val="19"/>
              </w:rPr>
              <w:t xml:space="preserve">The SASE tier is now on the path for all egress</w:t>
            </w:r>
          </w:p>
        </w:tc>
        <w:tc>
          <w:tcPr>
            <w:tcW w:type="dxa" w:w="4526"/>
            <w:tcMar>
              <w:top w:type="dxa" w:w="70"/>
              <w:left w:type="dxa" w:w="100"/>
              <w:bottom w:type="dxa" w:w="70"/>
              <w:right w:type="dxa" w:w="100"/>
            </w:tcMar>
          </w:tcPr>
          <w:p>
            <w:pPr>
              <w:spacing w:after="0" w:line="250"/>
            </w:pPr>
            <w:r>
              <w:rPr>
                <w:color w:val="1A1A1A"/>
                <w:sz w:val="19"/>
                <w:szCs w:val="19"/>
              </w:rPr>
              <w:t xml:space="preserve">sme-disaster-recovery: what is the measured failover time between regional gateways, and does gateway failover cross a residency boundary?</w:t>
            </w:r>
          </w:p>
        </w:tc>
      </w:tr>
    </w:tbl>
    <w:p>
      <w:pPr>
        <w:spacing w:after="140" w:line="276"/>
      </w:pPr>
      <w:r>
        <w:rPr>
          <w:color w:val="1A1A1A"/>
          <w:sz w:val="21"/>
          <w:szCs w:val="21"/>
        </w:rPr>
        <w:t xml:space="preserve">master-architect grades the whole. The engine had already raised the same residency-versus-resilience tension as an emergent risk (rule R-E05: a multi-region resilience position alongside a declared sovereignty boundary), which is the engine and the team converging on the same finding from different directions — a useful signal that it is real.</w:t>
      </w:r>
    </w:p>
    <w:p>
      <w:pPr>
        <w:pStyle w:val="Heading2"/>
        <w:spacing w:after="120" w:before="280"/>
      </w:pPr>
      <w:r>
        <w:rPr>
          <w:b/>
          <w:bCs/>
          <w:color w:val="1F4E79"/>
          <w:sz w:val="24"/>
          <w:szCs w:val="24"/>
        </w:rPr>
        <w:t xml:space="preserve">4.3 The hand-offs, summarised</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500"/>
        <w:gridCol w:w="2100"/>
        <w:gridCol w:w="2500"/>
        <w:gridCol w:w="3926"/>
      </w:tblGrid>
      <w:tr>
        <w:trPr>
          <w:tblHeader/>
        </w:trPr>
        <w:tc>
          <w:tcPr>
            <w:tcW w:type="dxa" w:w="500"/>
            <w:shd w:fill="EDF1F6" w:val="clear"/>
            <w:tcMar>
              <w:top w:type="dxa" w:w="70"/>
              <w:left w:type="dxa" w:w="100"/>
              <w:bottom w:type="dxa" w:w="70"/>
              <w:right w:type="dxa" w:w="100"/>
            </w:tcMar>
          </w:tcPr>
          <w:p>
            <w:pPr>
              <w:spacing w:after="0" w:line="250"/>
            </w:pPr>
            <w:r>
              <w:rPr>
                <w:b/>
                <w:bCs/>
                <w:color w:val="22303F"/>
                <w:sz w:val="18"/>
                <w:szCs w:val="18"/>
              </w:rPr>
              <w:t xml:space="preserve">#</w:t>
            </w:r>
          </w:p>
        </w:tc>
        <w:tc>
          <w:tcPr>
            <w:tcW w:type="dxa" w:w="2100"/>
            <w:shd w:fill="EDF1F6" w:val="clear"/>
            <w:tcMar>
              <w:top w:type="dxa" w:w="70"/>
              <w:left w:type="dxa" w:w="100"/>
              <w:bottom w:type="dxa" w:w="70"/>
              <w:right w:type="dxa" w:w="100"/>
            </w:tcMar>
          </w:tcPr>
          <w:p>
            <w:pPr>
              <w:spacing w:after="0" w:line="250"/>
            </w:pPr>
            <w:r>
              <w:rPr>
                <w:b/>
                <w:bCs/>
                <w:color w:val="22303F"/>
                <w:sz w:val="18"/>
                <w:szCs w:val="18"/>
              </w:rPr>
              <w:t xml:space="preserve">From</w:t>
            </w:r>
          </w:p>
        </w:tc>
        <w:tc>
          <w:tcPr>
            <w:tcW w:type="dxa" w:w="2500"/>
            <w:shd w:fill="EDF1F6" w:val="clear"/>
            <w:tcMar>
              <w:top w:type="dxa" w:w="70"/>
              <w:left w:type="dxa" w:w="100"/>
              <w:bottom w:type="dxa" w:w="70"/>
              <w:right w:type="dxa" w:w="100"/>
            </w:tcMar>
          </w:tcPr>
          <w:p>
            <w:pPr>
              <w:spacing w:after="0" w:line="250"/>
            </w:pPr>
            <w:r>
              <w:rPr>
                <w:b/>
                <w:bCs/>
                <w:color w:val="22303F"/>
                <w:sz w:val="18"/>
                <w:szCs w:val="18"/>
              </w:rPr>
              <w:t xml:space="preserve">To</w:t>
            </w:r>
          </w:p>
        </w:tc>
        <w:tc>
          <w:tcPr>
            <w:tcW w:type="dxa" w:w="3926"/>
            <w:shd w:fill="EDF1F6" w:val="clear"/>
            <w:tcMar>
              <w:top w:type="dxa" w:w="70"/>
              <w:left w:type="dxa" w:w="100"/>
              <w:bottom w:type="dxa" w:w="70"/>
              <w:right w:type="dxa" w:w="100"/>
            </w:tcMar>
          </w:tcPr>
          <w:p>
            <w:pPr>
              <w:spacing w:after="0" w:line="250"/>
            </w:pPr>
            <w:r>
              <w:rPr>
                <w:b/>
                <w:bCs/>
                <w:color w:val="22303F"/>
                <w:sz w:val="18"/>
                <w:szCs w:val="18"/>
              </w:rPr>
              <w:t xml:space="preserve">What is handed over</w:t>
            </w:r>
          </w:p>
        </w:tc>
      </w:tr>
      <w:tr>
        <w:tc>
          <w:tcPr>
            <w:tcW w:type="dxa" w:w="500"/>
            <w:tcMar>
              <w:top w:type="dxa" w:w="70"/>
              <w:left w:type="dxa" w:w="100"/>
              <w:bottom w:type="dxa" w:w="70"/>
              <w:right w:type="dxa" w:w="100"/>
            </w:tcMar>
          </w:tcPr>
          <w:p>
            <w:pPr>
              <w:spacing w:after="0" w:line="250"/>
            </w:pPr>
            <w:r>
              <w:rPr>
                <w:color w:val="1A1A1A"/>
                <w:sz w:val="19"/>
                <w:szCs w:val="19"/>
              </w:rPr>
              <w:t xml:space="preserve">1</w:t>
            </w:r>
          </w:p>
        </w:tc>
        <w:tc>
          <w:tcPr>
            <w:tcW w:type="dxa" w:w="2100"/>
            <w:tcMar>
              <w:top w:type="dxa" w:w="70"/>
              <w:left w:type="dxa" w:w="100"/>
              <w:bottom w:type="dxa" w:w="70"/>
              <w:right w:type="dxa" w:w="100"/>
            </w:tcMar>
          </w:tcPr>
          <w:p>
            <w:pPr>
              <w:spacing w:after="0" w:line="250"/>
            </w:pPr>
            <w:r>
              <w:rPr>
                <w:color w:val="1A1A1A"/>
                <w:sz w:val="19"/>
                <w:szCs w:val="19"/>
              </w:rPr>
              <w:t xml:space="preserve">Human</w:t>
            </w:r>
          </w:p>
        </w:tc>
        <w:tc>
          <w:tcPr>
            <w:tcW w:type="dxa" w:w="2500"/>
            <w:tcMar>
              <w:top w:type="dxa" w:w="70"/>
              <w:left w:type="dxa" w:w="100"/>
              <w:bottom w:type="dxa" w:w="70"/>
              <w:right w:type="dxa" w:w="100"/>
            </w:tcMar>
          </w:tcPr>
          <w:p>
            <w:pPr>
              <w:spacing w:after="0" w:line="250"/>
            </w:pPr>
            <w:r>
              <w:rPr>
                <w:color w:val="1A1A1A"/>
                <w:sz w:val="19"/>
                <w:szCs w:val="19"/>
              </w:rPr>
              <w:t xml:space="preserve">master-architect</w:t>
            </w:r>
          </w:p>
        </w:tc>
        <w:tc>
          <w:tcPr>
            <w:tcW w:type="dxa" w:w="3926"/>
            <w:tcMar>
              <w:top w:type="dxa" w:w="70"/>
              <w:left w:type="dxa" w:w="100"/>
              <w:bottom w:type="dxa" w:w="70"/>
              <w:right w:type="dxa" w:w="100"/>
            </w:tcMar>
          </w:tcPr>
          <w:p>
            <w:pPr>
              <w:spacing w:after="0" w:line="250"/>
            </w:pPr>
            <w:r>
              <w:rPr>
                <w:color w:val="1A1A1A"/>
                <w:sz w:val="19"/>
                <w:szCs w:val="19"/>
              </w:rPr>
              <w:t xml:space="preserve">The brief, uninterpreted</w:t>
            </w:r>
          </w:p>
        </w:tc>
      </w:tr>
      <w:tr>
        <w:tc>
          <w:tcPr>
            <w:tcW w:type="dxa" w:w="500"/>
            <w:tcMar>
              <w:top w:type="dxa" w:w="70"/>
              <w:left w:type="dxa" w:w="100"/>
              <w:bottom w:type="dxa" w:w="70"/>
              <w:right w:type="dxa" w:w="100"/>
            </w:tcMar>
          </w:tcPr>
          <w:p>
            <w:pPr>
              <w:spacing w:after="0" w:line="250"/>
            </w:pPr>
            <w:r>
              <w:rPr>
                <w:color w:val="1A1A1A"/>
                <w:sz w:val="19"/>
                <w:szCs w:val="19"/>
              </w:rPr>
              <w:t xml:space="preserve">2</w:t>
            </w:r>
          </w:p>
        </w:tc>
        <w:tc>
          <w:tcPr>
            <w:tcW w:type="dxa" w:w="2100"/>
            <w:tcMar>
              <w:top w:type="dxa" w:w="70"/>
              <w:left w:type="dxa" w:w="100"/>
              <w:bottom w:type="dxa" w:w="70"/>
              <w:right w:type="dxa" w:w="100"/>
            </w:tcMar>
          </w:tcPr>
          <w:p>
            <w:pPr>
              <w:spacing w:after="0" w:line="250"/>
            </w:pPr>
            <w:r>
              <w:rPr>
                <w:color w:val="1A1A1A"/>
                <w:sz w:val="19"/>
                <w:szCs w:val="19"/>
              </w:rPr>
              <w:t xml:space="preserve">master-architect</w:t>
            </w:r>
          </w:p>
        </w:tc>
        <w:tc>
          <w:tcPr>
            <w:tcW w:type="dxa" w:w="2500"/>
            <w:tcMar>
              <w:top w:type="dxa" w:w="70"/>
              <w:left w:type="dxa" w:w="100"/>
              <w:bottom w:type="dxa" w:w="70"/>
              <w:right w:type="dxa" w:w="100"/>
            </w:tcMar>
          </w:tcPr>
          <w:p>
            <w:pPr>
              <w:spacing w:after="0" w:line="250"/>
            </w:pPr>
            <w:r>
              <w:rPr>
                <w:color w:val="1A1A1A"/>
                <w:sz w:val="19"/>
                <w:szCs w:val="19"/>
              </w:rPr>
              <w:t xml:space="preserve">engine</w:t>
            </w:r>
          </w:p>
        </w:tc>
        <w:tc>
          <w:tcPr>
            <w:tcW w:type="dxa" w:w="3926"/>
            <w:tcMar>
              <w:top w:type="dxa" w:w="70"/>
              <w:left w:type="dxa" w:w="100"/>
              <w:bottom w:type="dxa" w:w="70"/>
              <w:right w:type="dxa" w:w="100"/>
            </w:tcMar>
          </w:tcPr>
          <w:p>
            <w:pPr>
              <w:spacing w:after="0" w:line="250"/>
            </w:pPr>
            <w:r>
              <w:rPr>
                <w:color w:val="1A1A1A"/>
                <w:sz w:val="19"/>
                <w:szCs w:val="19"/>
              </w:rPr>
              <w:t xml:space="preserve">The brief; returns a base plate for 9 domains</w:t>
            </w:r>
          </w:p>
        </w:tc>
      </w:tr>
      <w:tr>
        <w:tc>
          <w:tcPr>
            <w:tcW w:type="dxa" w:w="500"/>
            <w:tcMar>
              <w:top w:type="dxa" w:w="70"/>
              <w:left w:type="dxa" w:w="100"/>
              <w:bottom w:type="dxa" w:w="70"/>
              <w:right w:type="dxa" w:w="100"/>
            </w:tcMar>
          </w:tcPr>
          <w:p>
            <w:pPr>
              <w:spacing w:after="0" w:line="250"/>
            </w:pPr>
            <w:r>
              <w:rPr>
                <w:color w:val="1A1A1A"/>
                <w:sz w:val="19"/>
                <w:szCs w:val="19"/>
              </w:rPr>
              <w:t xml:space="preserve">3</w:t>
            </w:r>
          </w:p>
        </w:tc>
        <w:tc>
          <w:tcPr>
            <w:tcW w:type="dxa" w:w="2100"/>
            <w:tcMar>
              <w:top w:type="dxa" w:w="70"/>
              <w:left w:type="dxa" w:w="100"/>
              <w:bottom w:type="dxa" w:w="70"/>
              <w:right w:type="dxa" w:w="100"/>
            </w:tcMar>
          </w:tcPr>
          <w:p>
            <w:pPr>
              <w:spacing w:after="0" w:line="250"/>
            </w:pPr>
            <w:r>
              <w:rPr>
                <w:color w:val="1A1A1A"/>
                <w:sz w:val="19"/>
                <w:szCs w:val="19"/>
              </w:rPr>
              <w:t xml:space="preserve">master-architect</w:t>
            </w:r>
          </w:p>
        </w:tc>
        <w:tc>
          <w:tcPr>
            <w:tcW w:type="dxa" w:w="2500"/>
            <w:tcMar>
              <w:top w:type="dxa" w:w="70"/>
              <w:left w:type="dxa" w:w="100"/>
              <w:bottom w:type="dxa" w:w="70"/>
              <w:right w:type="dxa" w:w="100"/>
            </w:tcMar>
          </w:tcPr>
          <w:p>
            <w:pPr>
              <w:spacing w:after="0" w:line="250"/>
            </w:pPr>
            <w:r>
              <w:rPr>
                <w:color w:val="1A1A1A"/>
                <w:sz w:val="19"/>
                <w:szCs w:val="19"/>
              </w:rPr>
              <w:t xml:space="preserve">architect-infra</w:t>
            </w:r>
          </w:p>
        </w:tc>
        <w:tc>
          <w:tcPr>
            <w:tcW w:type="dxa" w:w="3926"/>
            <w:tcMar>
              <w:top w:type="dxa" w:w="70"/>
              <w:left w:type="dxa" w:w="100"/>
              <w:bottom w:type="dxa" w:w="70"/>
              <w:right w:type="dxa" w:w="100"/>
            </w:tcMar>
          </w:tcPr>
          <w:p>
            <w:pPr>
              <w:spacing w:after="0" w:line="250"/>
            </w:pPr>
            <w:r>
              <w:rPr>
                <w:color w:val="1A1A1A"/>
                <w:sz w:val="19"/>
                <w:szCs w:val="19"/>
              </w:rPr>
              <w:t xml:space="preserve">Brief, engine network position, and the specific question</w:t>
            </w:r>
          </w:p>
        </w:tc>
      </w:tr>
      <w:tr>
        <w:tc>
          <w:tcPr>
            <w:tcW w:type="dxa" w:w="500"/>
            <w:tcMar>
              <w:top w:type="dxa" w:w="70"/>
              <w:left w:type="dxa" w:w="100"/>
              <w:bottom w:type="dxa" w:w="70"/>
              <w:right w:type="dxa" w:w="100"/>
            </w:tcMar>
          </w:tcPr>
          <w:p>
            <w:pPr>
              <w:spacing w:after="0" w:line="250"/>
            </w:pPr>
            <w:r>
              <w:rPr>
                <w:color w:val="1A1A1A"/>
                <w:sz w:val="19"/>
                <w:szCs w:val="19"/>
              </w:rPr>
              <w:t xml:space="preserve">4</w:t>
            </w:r>
          </w:p>
        </w:tc>
        <w:tc>
          <w:tcPr>
            <w:tcW w:type="dxa" w:w="2100"/>
            <w:tcMar>
              <w:top w:type="dxa" w:w="70"/>
              <w:left w:type="dxa" w:w="100"/>
              <w:bottom w:type="dxa" w:w="70"/>
              <w:right w:type="dxa" w:w="100"/>
            </w:tcMar>
          </w:tcPr>
          <w:p>
            <w:pPr>
              <w:spacing w:after="0" w:line="250"/>
            </w:pPr>
            <w:r>
              <w:rPr>
                <w:color w:val="1A1A1A"/>
                <w:sz w:val="19"/>
                <w:szCs w:val="19"/>
              </w:rPr>
              <w:t xml:space="preserve">architect-infra</w:t>
            </w:r>
          </w:p>
        </w:tc>
        <w:tc>
          <w:tcPr>
            <w:tcW w:type="dxa" w:w="2500"/>
            <w:tcMar>
              <w:top w:type="dxa" w:w="70"/>
              <w:left w:type="dxa" w:w="100"/>
              <w:bottom w:type="dxa" w:w="70"/>
              <w:right w:type="dxa" w:w="100"/>
            </w:tcMar>
          </w:tcPr>
          <w:p>
            <w:pPr>
              <w:spacing w:after="0" w:line="250"/>
            </w:pPr>
            <w:r>
              <w:rPr>
                <w:color w:val="1A1A1A"/>
                <w:sz w:val="19"/>
                <w:szCs w:val="19"/>
              </w:rPr>
              <w:t xml:space="preserve">3 SMEs, separately</w:t>
            </w:r>
          </w:p>
        </w:tc>
        <w:tc>
          <w:tcPr>
            <w:tcW w:type="dxa" w:w="3926"/>
            <w:tcMar>
              <w:top w:type="dxa" w:w="70"/>
              <w:left w:type="dxa" w:w="100"/>
              <w:bottom w:type="dxa" w:w="70"/>
              <w:right w:type="dxa" w:w="100"/>
            </w:tcMar>
          </w:tcPr>
          <w:p>
            <w:pPr>
              <w:spacing w:after="0" w:line="250"/>
            </w:pPr>
            <w:r>
              <w:rPr>
                <w:color w:val="1A1A1A"/>
                <w:sz w:val="19"/>
                <w:szCs w:val="19"/>
              </w:rPr>
              <w:t xml:space="preserve">The question only — no other SME's output</w:t>
            </w:r>
          </w:p>
        </w:tc>
      </w:tr>
      <w:tr>
        <w:tc>
          <w:tcPr>
            <w:tcW w:type="dxa" w:w="500"/>
            <w:tcMar>
              <w:top w:type="dxa" w:w="70"/>
              <w:left w:type="dxa" w:w="100"/>
              <w:bottom w:type="dxa" w:w="70"/>
              <w:right w:type="dxa" w:w="100"/>
            </w:tcMar>
          </w:tcPr>
          <w:p>
            <w:pPr>
              <w:spacing w:after="0" w:line="250"/>
            </w:pPr>
            <w:r>
              <w:rPr>
                <w:color w:val="1A1A1A"/>
                <w:sz w:val="19"/>
                <w:szCs w:val="19"/>
              </w:rPr>
              <w:t xml:space="preserve">5</w:t>
            </w:r>
          </w:p>
        </w:tc>
        <w:tc>
          <w:tcPr>
            <w:tcW w:type="dxa" w:w="2100"/>
            <w:tcMar>
              <w:top w:type="dxa" w:w="70"/>
              <w:left w:type="dxa" w:w="100"/>
              <w:bottom w:type="dxa" w:w="70"/>
              <w:right w:type="dxa" w:w="100"/>
            </w:tcMar>
          </w:tcPr>
          <w:p>
            <w:pPr>
              <w:spacing w:after="0" w:line="250"/>
            </w:pPr>
            <w:r>
              <w:rPr>
                <w:color w:val="1A1A1A"/>
                <w:sz w:val="19"/>
                <w:szCs w:val="19"/>
              </w:rPr>
              <w:t xml:space="preserve">sme-network-security</w:t>
            </w:r>
          </w:p>
        </w:tc>
        <w:tc>
          <w:tcPr>
            <w:tcW w:type="dxa" w:w="2500"/>
            <w:tcMar>
              <w:top w:type="dxa" w:w="70"/>
              <w:left w:type="dxa" w:w="100"/>
              <w:bottom w:type="dxa" w:w="70"/>
              <w:right w:type="dxa" w:w="100"/>
            </w:tcMar>
          </w:tcPr>
          <w:p>
            <w:pPr>
              <w:spacing w:after="0" w:line="250"/>
            </w:pPr>
            <w:r>
              <w:rPr>
                <w:color w:val="1A1A1A"/>
                <w:sz w:val="19"/>
                <w:szCs w:val="19"/>
              </w:rPr>
              <w:t xml:space="preserve">architect-infra</w:t>
            </w:r>
          </w:p>
        </w:tc>
        <w:tc>
          <w:tcPr>
            <w:tcW w:type="dxa" w:w="3926"/>
            <w:tcMar>
              <w:top w:type="dxa" w:w="70"/>
              <w:left w:type="dxa" w:w="100"/>
              <w:bottom w:type="dxa" w:w="70"/>
              <w:right w:type="dxa" w:w="100"/>
            </w:tcMar>
          </w:tcPr>
          <w:p>
            <w:pPr>
              <w:spacing w:after="0" w:line="250"/>
            </w:pPr>
            <w:r>
              <w:rPr>
                <w:color w:val="1A1A1A"/>
                <w:sz w:val="19"/>
                <w:szCs w:val="19"/>
              </w:rPr>
              <w:t xml:space="preserve">Position, what it refused to assume, questions with owners</w:t>
            </w:r>
          </w:p>
        </w:tc>
      </w:tr>
      <w:tr>
        <w:tc>
          <w:tcPr>
            <w:tcW w:type="dxa" w:w="500"/>
            <w:tcMar>
              <w:top w:type="dxa" w:w="70"/>
              <w:left w:type="dxa" w:w="100"/>
              <w:bottom w:type="dxa" w:w="70"/>
              <w:right w:type="dxa" w:w="100"/>
            </w:tcMar>
          </w:tcPr>
          <w:p>
            <w:pPr>
              <w:spacing w:after="0" w:line="250"/>
            </w:pPr>
            <w:r>
              <w:rPr>
                <w:color w:val="1A1A1A"/>
                <w:sz w:val="19"/>
                <w:szCs w:val="19"/>
              </w:rPr>
              <w:t xml:space="preserve">6</w:t>
            </w:r>
          </w:p>
        </w:tc>
        <w:tc>
          <w:tcPr>
            <w:tcW w:type="dxa" w:w="2100"/>
            <w:tcMar>
              <w:top w:type="dxa" w:w="70"/>
              <w:left w:type="dxa" w:w="100"/>
              <w:bottom w:type="dxa" w:w="70"/>
              <w:right w:type="dxa" w:w="100"/>
            </w:tcMar>
          </w:tcPr>
          <w:p>
            <w:pPr>
              <w:spacing w:after="0" w:line="250"/>
            </w:pPr>
            <w:r>
              <w:rPr>
                <w:color w:val="1A1A1A"/>
                <w:sz w:val="19"/>
                <w:szCs w:val="19"/>
              </w:rPr>
              <w:t xml:space="preserve">sme-network-security</w:t>
            </w:r>
          </w:p>
        </w:tc>
        <w:tc>
          <w:tcPr>
            <w:tcW w:type="dxa" w:w="2500"/>
            <w:tcMar>
              <w:top w:type="dxa" w:w="70"/>
              <w:left w:type="dxa" w:w="100"/>
              <w:bottom w:type="dxa" w:w="70"/>
              <w:right w:type="dxa" w:w="100"/>
            </w:tcMar>
          </w:tcPr>
          <w:p>
            <w:pPr>
              <w:spacing w:after="0" w:line="250"/>
            </w:pPr>
            <w:r>
              <w:rPr>
                <w:color w:val="1A1A1A"/>
                <w:sz w:val="19"/>
                <w:szCs w:val="19"/>
              </w:rPr>
              <w:t xml:space="preserve">architect-infra → sme-endpoint-security</w:t>
            </w:r>
          </w:p>
        </w:tc>
        <w:tc>
          <w:tcPr>
            <w:tcW w:type="dxa" w:w="3926"/>
            <w:tcMar>
              <w:top w:type="dxa" w:w="70"/>
              <w:left w:type="dxa" w:w="100"/>
              <w:bottom w:type="dxa" w:w="70"/>
              <w:right w:type="dxa" w:w="100"/>
            </w:tcMar>
          </w:tcPr>
          <w:p>
            <w:pPr>
              <w:spacing w:after="0" w:line="250"/>
            </w:pPr>
            <w:r>
              <w:rPr>
                <w:color w:val="1A1A1A"/>
                <w:sz w:val="19"/>
                <w:szCs w:val="19"/>
              </w:rPr>
              <w:t xml:space="preserve">A same-domain routing request. Stays in the domain.</w:t>
            </w:r>
          </w:p>
        </w:tc>
      </w:tr>
      <w:tr>
        <w:tc>
          <w:tcPr>
            <w:tcW w:type="dxa" w:w="500"/>
            <w:tcMar>
              <w:top w:type="dxa" w:w="70"/>
              <w:left w:type="dxa" w:w="100"/>
              <w:bottom w:type="dxa" w:w="70"/>
              <w:right w:type="dxa" w:w="100"/>
            </w:tcMar>
          </w:tcPr>
          <w:p>
            <w:pPr>
              <w:spacing w:after="0" w:line="250"/>
            </w:pPr>
            <w:r>
              <w:rPr>
                <w:color w:val="1A1A1A"/>
                <w:sz w:val="19"/>
                <w:szCs w:val="19"/>
              </w:rPr>
              <w:t xml:space="preserve">7</w:t>
            </w:r>
          </w:p>
        </w:tc>
        <w:tc>
          <w:tcPr>
            <w:tcW w:type="dxa" w:w="2100"/>
            <w:tcMar>
              <w:top w:type="dxa" w:w="70"/>
              <w:left w:type="dxa" w:w="100"/>
              <w:bottom w:type="dxa" w:w="70"/>
              <w:right w:type="dxa" w:w="100"/>
            </w:tcMar>
          </w:tcPr>
          <w:p>
            <w:pPr>
              <w:spacing w:after="0" w:line="250"/>
            </w:pPr>
            <w:r>
              <w:rPr>
                <w:color w:val="1A1A1A"/>
                <w:sz w:val="19"/>
                <w:szCs w:val="19"/>
              </w:rPr>
              <w:t xml:space="preserve">architect-infra</w:t>
            </w:r>
          </w:p>
        </w:tc>
        <w:tc>
          <w:tcPr>
            <w:tcW w:type="dxa" w:w="2500"/>
            <w:tcMar>
              <w:top w:type="dxa" w:w="70"/>
              <w:left w:type="dxa" w:w="100"/>
              <w:bottom w:type="dxa" w:w="70"/>
              <w:right w:type="dxa" w:w="100"/>
            </w:tcMar>
          </w:tcPr>
          <w:p>
            <w:pPr>
              <w:spacing w:after="0" w:line="250"/>
            </w:pPr>
            <w:r>
              <w:rPr>
                <w:color w:val="1A1A1A"/>
                <w:sz w:val="19"/>
                <w:szCs w:val="19"/>
              </w:rPr>
              <w:t xml:space="preserve">master-architect</w:t>
            </w:r>
          </w:p>
        </w:tc>
        <w:tc>
          <w:tcPr>
            <w:tcW w:type="dxa" w:w="3926"/>
            <w:tcMar>
              <w:top w:type="dxa" w:w="70"/>
              <w:left w:type="dxa" w:w="100"/>
              <w:bottom w:type="dxa" w:w="70"/>
              <w:right w:type="dxa" w:w="100"/>
            </w:tcMar>
          </w:tcPr>
          <w:p>
            <w:pPr>
              <w:spacing w:after="0" w:line="250"/>
            </w:pPr>
            <w:r>
              <w:rPr>
                <w:color w:val="1A1A1A"/>
                <w:sz w:val="19"/>
                <w:szCs w:val="19"/>
              </w:rPr>
              <w:t xml:space="preserve">One cross-domain dependency, with the position that created it</w:t>
            </w:r>
          </w:p>
        </w:tc>
      </w:tr>
      <w:tr>
        <w:tc>
          <w:tcPr>
            <w:tcW w:type="dxa" w:w="500"/>
            <w:tcMar>
              <w:top w:type="dxa" w:w="70"/>
              <w:left w:type="dxa" w:w="100"/>
              <w:bottom w:type="dxa" w:w="70"/>
              <w:right w:type="dxa" w:w="100"/>
            </w:tcMar>
          </w:tcPr>
          <w:p>
            <w:pPr>
              <w:spacing w:after="0" w:line="250"/>
            </w:pPr>
            <w:r>
              <w:rPr>
                <w:color w:val="1A1A1A"/>
                <w:sz w:val="19"/>
                <w:szCs w:val="19"/>
              </w:rPr>
              <w:t xml:space="preserve">8</w:t>
            </w:r>
          </w:p>
        </w:tc>
        <w:tc>
          <w:tcPr>
            <w:tcW w:type="dxa" w:w="2100"/>
            <w:tcMar>
              <w:top w:type="dxa" w:w="70"/>
              <w:left w:type="dxa" w:w="100"/>
              <w:bottom w:type="dxa" w:w="70"/>
              <w:right w:type="dxa" w:w="100"/>
            </w:tcMar>
          </w:tcPr>
          <w:p>
            <w:pPr>
              <w:spacing w:after="0" w:line="250"/>
            </w:pPr>
            <w:r>
              <w:rPr>
                <w:color w:val="1A1A1A"/>
                <w:sz w:val="19"/>
                <w:szCs w:val="19"/>
              </w:rPr>
              <w:t xml:space="preserve">master-architect</w:t>
            </w:r>
          </w:p>
        </w:tc>
        <w:tc>
          <w:tcPr>
            <w:tcW w:type="dxa" w:w="2500"/>
            <w:tcMar>
              <w:top w:type="dxa" w:w="70"/>
              <w:left w:type="dxa" w:w="100"/>
              <w:bottom w:type="dxa" w:w="70"/>
              <w:right w:type="dxa" w:w="100"/>
            </w:tcMar>
          </w:tcPr>
          <w:p>
            <w:pPr>
              <w:spacing w:after="0" w:line="250"/>
            </w:pPr>
            <w:r>
              <w:rPr>
                <w:color w:val="1A1A1A"/>
                <w:sz w:val="19"/>
                <w:szCs w:val="19"/>
              </w:rPr>
              <w:t xml:space="preserve">architect-data → sme-data-residency</w:t>
            </w:r>
          </w:p>
        </w:tc>
        <w:tc>
          <w:tcPr>
            <w:tcW w:type="dxa" w:w="3926"/>
            <w:tcMar>
              <w:top w:type="dxa" w:w="70"/>
              <w:left w:type="dxa" w:w="100"/>
              <w:bottom w:type="dxa" w:w="70"/>
              <w:right w:type="dxa" w:w="100"/>
            </w:tcMar>
          </w:tcPr>
          <w:p>
            <w:pPr>
              <w:spacing w:after="0" w:line="250"/>
            </w:pPr>
            <w:r>
              <w:rPr>
                <w:color w:val="1A1A1A"/>
                <w:sz w:val="19"/>
                <w:szCs w:val="19"/>
              </w:rPr>
              <w:t xml:space="preserve">The specific dependency, not the whole infra output</w:t>
            </w:r>
          </w:p>
        </w:tc>
      </w:tr>
      <w:tr>
        <w:tc>
          <w:tcPr>
            <w:tcW w:type="dxa" w:w="500"/>
            <w:tcMar>
              <w:top w:type="dxa" w:w="70"/>
              <w:left w:type="dxa" w:w="100"/>
              <w:bottom w:type="dxa" w:w="70"/>
              <w:right w:type="dxa" w:w="100"/>
            </w:tcMar>
          </w:tcPr>
          <w:p>
            <w:pPr>
              <w:spacing w:after="0" w:line="250"/>
            </w:pPr>
            <w:r>
              <w:rPr>
                <w:color w:val="1A1A1A"/>
                <w:sz w:val="19"/>
                <w:szCs w:val="19"/>
              </w:rPr>
              <w:t xml:space="preserve">9</w:t>
            </w:r>
          </w:p>
        </w:tc>
        <w:tc>
          <w:tcPr>
            <w:tcW w:type="dxa" w:w="2100"/>
            <w:tcMar>
              <w:top w:type="dxa" w:w="70"/>
              <w:left w:type="dxa" w:w="100"/>
              <w:bottom w:type="dxa" w:w="70"/>
              <w:right w:type="dxa" w:w="100"/>
            </w:tcMar>
          </w:tcPr>
          <w:p>
            <w:pPr>
              <w:spacing w:after="0" w:line="250"/>
            </w:pPr>
            <w:r>
              <w:rPr>
                <w:color w:val="1A1A1A"/>
                <w:sz w:val="19"/>
                <w:szCs w:val="19"/>
              </w:rPr>
              <w:t xml:space="preserve">master-architect</w:t>
            </w:r>
          </w:p>
        </w:tc>
        <w:tc>
          <w:tcPr>
            <w:tcW w:type="dxa" w:w="2500"/>
            <w:tcMar>
              <w:top w:type="dxa" w:w="70"/>
              <w:left w:type="dxa" w:w="100"/>
              <w:bottom w:type="dxa" w:w="70"/>
              <w:right w:type="dxa" w:w="100"/>
            </w:tcMar>
          </w:tcPr>
          <w:p>
            <w:pPr>
              <w:spacing w:after="0" w:line="250"/>
            </w:pPr>
            <w:r>
              <w:rPr>
                <w:color w:val="1A1A1A"/>
                <w:sz w:val="19"/>
                <w:szCs w:val="19"/>
              </w:rPr>
              <w:t xml:space="preserve">—</w:t>
            </w:r>
          </w:p>
        </w:tc>
        <w:tc>
          <w:tcPr>
            <w:tcW w:type="dxa" w:w="3926"/>
            <w:tcMar>
              <w:top w:type="dxa" w:w="70"/>
              <w:left w:type="dxa" w:w="100"/>
              <w:bottom w:type="dxa" w:w="70"/>
              <w:right w:type="dxa" w:w="100"/>
            </w:tcMar>
          </w:tcPr>
          <w:p>
            <w:pPr>
              <w:spacing w:after="0" w:line="250"/>
            </w:pPr>
            <w:r>
              <w:rPr>
                <w:color w:val="1A1A1A"/>
                <w:sz w:val="19"/>
                <w:szCs w:val="19"/>
              </w:rPr>
              <w:t xml:space="preserve">Reconciles both; finds the Assumed state neither could see</w:t>
            </w:r>
          </w:p>
        </w:tc>
      </w:tr>
      <w:tr>
        <w:tc>
          <w:tcPr>
            <w:tcW w:type="dxa" w:w="500"/>
            <w:tcMar>
              <w:top w:type="dxa" w:w="70"/>
              <w:left w:type="dxa" w:w="100"/>
              <w:bottom w:type="dxa" w:w="70"/>
              <w:right w:type="dxa" w:w="100"/>
            </w:tcMar>
          </w:tcPr>
          <w:p>
            <w:pPr>
              <w:spacing w:after="0" w:line="250"/>
            </w:pPr>
            <w:r>
              <w:rPr>
                <w:color w:val="1A1A1A"/>
                <w:sz w:val="19"/>
                <w:szCs w:val="19"/>
              </w:rPr>
              <w:t xml:space="preserve">10</w:t>
            </w:r>
          </w:p>
        </w:tc>
        <w:tc>
          <w:tcPr>
            <w:tcW w:type="dxa" w:w="2100"/>
            <w:tcMar>
              <w:top w:type="dxa" w:w="70"/>
              <w:left w:type="dxa" w:w="100"/>
              <w:bottom w:type="dxa" w:w="70"/>
              <w:right w:type="dxa" w:w="100"/>
            </w:tcMar>
          </w:tcPr>
          <w:p>
            <w:pPr>
              <w:spacing w:after="0" w:line="250"/>
            </w:pPr>
            <w:r>
              <w:rPr>
                <w:color w:val="1A1A1A"/>
                <w:sz w:val="19"/>
                <w:szCs w:val="19"/>
              </w:rPr>
              <w:t xml:space="preserve">master-architect</w:t>
            </w:r>
          </w:p>
        </w:tc>
        <w:tc>
          <w:tcPr>
            <w:tcW w:type="dxa" w:w="2500"/>
            <w:tcMar>
              <w:top w:type="dxa" w:w="70"/>
              <w:left w:type="dxa" w:w="100"/>
              <w:bottom w:type="dxa" w:w="70"/>
              <w:right w:type="dxa" w:w="100"/>
            </w:tcMar>
          </w:tcPr>
          <w:p>
            <w:pPr>
              <w:spacing w:after="0" w:line="250"/>
            </w:pPr>
            <w:r>
              <w:rPr>
                <w:color w:val="1A1A1A"/>
                <w:sz w:val="19"/>
                <w:szCs w:val="19"/>
              </w:rPr>
              <w:t xml:space="preserve">iam, grc, secops, res</w:t>
            </w:r>
          </w:p>
        </w:tc>
        <w:tc>
          <w:tcPr>
            <w:tcW w:type="dxa" w:w="3926"/>
            <w:tcMar>
              <w:top w:type="dxa" w:w="70"/>
              <w:left w:type="dxa" w:w="100"/>
              <w:bottom w:type="dxa" w:w="70"/>
              <w:right w:type="dxa" w:w="100"/>
            </w:tcMar>
          </w:tcPr>
          <w:p>
            <w:pPr>
              <w:spacing w:after="0" w:line="250"/>
            </w:pPr>
            <w:r>
              <w:rPr>
                <w:color w:val="1A1A1A"/>
                <w:sz w:val="19"/>
                <w:szCs w:val="19"/>
              </w:rPr>
              <w:t xml:space="preserve">Scoped questions; then grades the whole</w:t>
            </w:r>
          </w:p>
        </w:tc>
      </w:tr>
    </w:tbl>
    <w:p>
      <w:r>
        <w:br w:type="page"/>
      </w:r>
    </w:p>
    <w:p>
      <w:pPr>
        <w:pStyle w:val="Heading1"/>
        <w:spacing w:after="160" w:before="360"/>
      </w:pPr>
      <w:r>
        <w:rPr>
          <w:b/>
          <w:bCs/>
          <w:color w:val="1F4E79"/>
          <w:sz w:val="30"/>
          <w:szCs w:val="30"/>
        </w:rPr>
        <w:t xml:space="preserve">5. Prompt templates</w:t>
      </w:r>
    </w:p>
    <w:p>
      <w:pPr>
        <w:spacing w:after="140" w:line="276"/>
      </w:pPr>
      <w:r>
        <w:rPr>
          <w:color w:val="1A1A1A"/>
          <w:sz w:val="21"/>
          <w:szCs w:val="21"/>
        </w:rPr>
        <w:t xml:space="preserve">Four templates: the brief the engine reads, and one invocation per tier. Slots in angle brackets are yours to fill.</w:t>
      </w:r>
    </w:p>
    <w:p>
      <w:pPr>
        <w:pStyle w:val="Heading2"/>
        <w:spacing w:after="120" w:before="280"/>
      </w:pPr>
      <w:r>
        <w:rPr>
          <w:b/>
          <w:bCs/>
          <w:color w:val="1F4E79"/>
          <w:sz w:val="24"/>
          <w:szCs w:val="24"/>
        </w:rPr>
        <w:t xml:space="preserve">5.1 The brief template</w:t>
      </w:r>
    </w:p>
    <w:p>
      <w:pPr>
        <w:spacing w:after="140" w:line="276"/>
      </w:pPr>
      <w:r>
        <w:rPr>
          <w:color w:val="1A1A1A"/>
          <w:sz w:val="21"/>
          <w:szCs w:val="21"/>
        </w:rPr>
        <w:t xml:space="preserve">The intake reads any brief — three sentences or thirty pages — but it reads these headings if they are present, and it records what you did not say as an explicit assumption carried into the design.</w:t>
      </w:r>
    </w:p>
    <w:p>
      <w:pPr>
        <w:shd w:fill="F4F6F9" w:val="clear"/>
        <w:spacing w:after="0" w:line="240"/>
        <w:ind w:left="170" w:right="170"/>
      </w:pPr>
      <w:r>
        <w:rPr>
          <w:rFonts w:ascii="Consolas" w:cs="Consolas" w:eastAsia="Consolas" w:hAnsi="Consolas"/>
          <w:color w:val="22303F"/>
          <w:sz w:val="18"/>
          <w:szCs w:val="18"/>
        </w:rPr>
        <w:t xml:space="preserve"># &lt;Direction name&gt;</w:t>
      </w:r>
    </w:p>
    <w:p>
      <w:pPr>
        <w:shd w:fill="F4F6F9" w:val="clear"/>
        <w:spacing w:after="0" w:line="240"/>
        <w:ind w:left="170" w:right="170"/>
      </w:pPr>
      <w:r>
        <w:rPr>
          <w:rFonts w:ascii="Consolas" w:cs="Consolas" w:eastAsia="Consolas" w:hAnsi="Consolas"/>
          <w:color w:val="22303F"/>
          <w:sz w:val="18"/>
          <w:szCs w:val="18"/>
        </w:rPr>
        <w:t xml:space="preserve"> </w:t>
      </w:r>
    </w:p>
    <w:p>
      <w:pPr>
        <w:shd w:fill="F4F6F9" w:val="clear"/>
        <w:spacing w:after="0" w:line="240"/>
        <w:ind w:left="170" w:right="170"/>
      </w:pPr>
      <w:r>
        <w:rPr>
          <w:rFonts w:ascii="Consolas" w:cs="Consolas" w:eastAsia="Consolas" w:hAnsi="Consolas"/>
          <w:color w:val="22303F"/>
          <w:sz w:val="18"/>
          <w:szCs w:val="18"/>
        </w:rPr>
        <w:t xml:space="preserve">## Drivers</w:t>
      </w:r>
    </w:p>
    <w:p>
      <w:pPr>
        <w:shd w:fill="F4F6F9" w:val="clear"/>
        <w:spacing w:after="0" w:line="240"/>
        <w:ind w:left="170" w:right="170"/>
      </w:pPr>
      <w:r>
        <w:rPr>
          <w:rFonts w:ascii="Consolas" w:cs="Consolas" w:eastAsia="Consolas" w:hAnsi="Consolas"/>
          <w:color w:val="22303F"/>
          <w:sz w:val="18"/>
          <w:szCs w:val="18"/>
        </w:rPr>
        <w:t xml:space="preserve">- &lt;What this is for, in outcome terms. The funded driver, not the aspirational one.&gt;</w:t>
      </w:r>
    </w:p>
    <w:p>
      <w:pPr>
        <w:shd w:fill="F4F6F9" w:val="clear"/>
        <w:spacing w:after="0" w:line="240"/>
        <w:ind w:left="170" w:right="170"/>
      </w:pPr>
      <w:r>
        <w:rPr>
          <w:rFonts w:ascii="Consolas" w:cs="Consolas" w:eastAsia="Consolas" w:hAnsi="Consolas"/>
          <w:color w:val="22303F"/>
          <w:sz w:val="18"/>
          <w:szCs w:val="18"/>
        </w:rPr>
        <w:t xml:space="preserve"> </w:t>
      </w:r>
    </w:p>
    <w:p>
      <w:pPr>
        <w:shd w:fill="F4F6F9" w:val="clear"/>
        <w:spacing w:after="0" w:line="240"/>
        <w:ind w:left="170" w:right="170"/>
      </w:pPr>
      <w:r>
        <w:rPr>
          <w:rFonts w:ascii="Consolas" w:cs="Consolas" w:eastAsia="Consolas" w:hAnsi="Consolas"/>
          <w:color w:val="22303F"/>
          <w:sz w:val="18"/>
          <w:szCs w:val="18"/>
        </w:rPr>
        <w:t xml:space="preserve">## Scope</w:t>
      </w:r>
    </w:p>
    <w:p>
      <w:pPr>
        <w:shd w:fill="F4F6F9" w:val="clear"/>
        <w:spacing w:after="0" w:line="240"/>
        <w:ind w:left="170" w:right="170"/>
      </w:pPr>
      <w:r>
        <w:rPr>
          <w:rFonts w:ascii="Consolas" w:cs="Consolas" w:eastAsia="Consolas" w:hAnsi="Consolas"/>
          <w:color w:val="22303F"/>
          <w:sz w:val="18"/>
          <w:szCs w:val="18"/>
        </w:rPr>
        <w:t xml:space="preserve">&lt;What is being built or changed, and what it sits in front of or behind.&gt;</w:t>
      </w:r>
    </w:p>
    <w:p>
      <w:pPr>
        <w:shd w:fill="F4F6F9" w:val="clear"/>
        <w:spacing w:after="0" w:line="240"/>
        <w:ind w:left="170" w:right="170"/>
      </w:pPr>
      <w:r>
        <w:rPr>
          <w:rFonts w:ascii="Consolas" w:cs="Consolas" w:eastAsia="Consolas" w:hAnsi="Consolas"/>
          <w:color w:val="22303F"/>
          <w:sz w:val="18"/>
          <w:szCs w:val="18"/>
        </w:rPr>
        <w:t xml:space="preserve"> </w:t>
      </w:r>
    </w:p>
    <w:p>
      <w:pPr>
        <w:shd w:fill="F4F6F9" w:val="clear"/>
        <w:spacing w:after="0" w:line="240"/>
        <w:ind w:left="170" w:right="170"/>
      </w:pPr>
      <w:r>
        <w:rPr>
          <w:rFonts w:ascii="Consolas" w:cs="Consolas" w:eastAsia="Consolas" w:hAnsi="Consolas"/>
          <w:color w:val="22303F"/>
          <w:sz w:val="18"/>
          <w:szCs w:val="18"/>
        </w:rPr>
        <w:t xml:space="preserve">## Objects</w:t>
      </w:r>
    </w:p>
    <w:p>
      <w:pPr>
        <w:shd w:fill="F4F6F9" w:val="clear"/>
        <w:spacing w:after="0" w:line="240"/>
        <w:ind w:left="170" w:right="170"/>
      </w:pPr>
      <w:r>
        <w:rPr>
          <w:rFonts w:ascii="Consolas" w:cs="Consolas" w:eastAsia="Consolas" w:hAnsi="Consolas"/>
          <w:color w:val="22303F"/>
          <w:sz w:val="18"/>
          <w:szCs w:val="18"/>
        </w:rPr>
        <w:t xml:space="preserve">- &lt;Component&gt; (new | existing, integration only | retiring)</w:t>
      </w:r>
    </w:p>
    <w:p>
      <w:pPr>
        <w:shd w:fill="F4F6F9" w:val="clear"/>
        <w:spacing w:after="0" w:line="240"/>
        <w:ind w:left="170" w:right="170"/>
      </w:pPr>
      <w:r>
        <w:rPr>
          <w:rFonts w:ascii="Consolas" w:cs="Consolas" w:eastAsia="Consolas" w:hAnsi="Consolas"/>
          <w:color w:val="22303F"/>
          <w:sz w:val="18"/>
          <w:szCs w:val="18"/>
        </w:rPr>
        <w:t xml:space="preserve"> </w:t>
      </w:r>
    </w:p>
    <w:p>
      <w:pPr>
        <w:shd w:fill="F4F6F9" w:val="clear"/>
        <w:spacing w:after="0" w:line="240"/>
        <w:ind w:left="170" w:right="170"/>
      </w:pPr>
      <w:r>
        <w:rPr>
          <w:rFonts w:ascii="Consolas" w:cs="Consolas" w:eastAsia="Consolas" w:hAnsi="Consolas"/>
          <w:color w:val="22303F"/>
          <w:sz w:val="18"/>
          <w:szCs w:val="18"/>
        </w:rPr>
        <w:t xml:space="preserve">## Integrations</w:t>
      </w:r>
    </w:p>
    <w:p>
      <w:pPr>
        <w:shd w:fill="F4F6F9" w:val="clear"/>
        <w:spacing w:after="0" w:line="240"/>
        <w:ind w:left="170" w:right="170"/>
      </w:pPr>
      <w:r>
        <w:rPr>
          <w:rFonts w:ascii="Consolas" w:cs="Consolas" w:eastAsia="Consolas" w:hAnsi="Consolas"/>
          <w:color w:val="22303F"/>
          <w:sz w:val="18"/>
          <w:szCs w:val="18"/>
        </w:rPr>
        <w:t xml:space="preserve">- &lt;A to B, over what, crossing which boundary&gt;</w:t>
      </w:r>
    </w:p>
    <w:p>
      <w:pPr>
        <w:shd w:fill="F4F6F9" w:val="clear"/>
        <w:spacing w:after="0" w:line="240"/>
        <w:ind w:left="170" w:right="170"/>
      </w:pPr>
      <w:r>
        <w:rPr>
          <w:rFonts w:ascii="Consolas" w:cs="Consolas" w:eastAsia="Consolas" w:hAnsi="Consolas"/>
          <w:color w:val="22303F"/>
          <w:sz w:val="18"/>
          <w:szCs w:val="18"/>
        </w:rPr>
        <w:t xml:space="preserve"> </w:t>
      </w:r>
    </w:p>
    <w:p>
      <w:pPr>
        <w:shd w:fill="F4F6F9" w:val="clear"/>
        <w:spacing w:after="0" w:line="240"/>
        <w:ind w:left="170" w:right="170"/>
      </w:pPr>
      <w:r>
        <w:rPr>
          <w:rFonts w:ascii="Consolas" w:cs="Consolas" w:eastAsia="Consolas" w:hAnsi="Consolas"/>
          <w:color w:val="22303F"/>
          <w:sz w:val="18"/>
          <w:szCs w:val="18"/>
        </w:rPr>
        <w:t xml:space="preserve">## Environments</w:t>
      </w:r>
    </w:p>
    <w:p>
      <w:pPr>
        <w:shd w:fill="F4F6F9" w:val="clear"/>
        <w:spacing w:after="0" w:line="240"/>
        <w:ind w:left="170" w:right="170"/>
      </w:pPr>
      <w:r>
        <w:rPr>
          <w:rFonts w:ascii="Consolas" w:cs="Consolas" w:eastAsia="Consolas" w:hAnsi="Consolas"/>
          <w:color w:val="22303F"/>
          <w:sz w:val="18"/>
          <w:szCs w:val="18"/>
        </w:rPr>
        <w:t xml:space="preserve">- Prod</w:t>
      </w:r>
    </w:p>
    <w:p>
      <w:pPr>
        <w:shd w:fill="F4F6F9" w:val="clear"/>
        <w:spacing w:after="0" w:line="240"/>
        <w:ind w:left="170" w:right="170"/>
      </w:pPr>
      <w:r>
        <w:rPr>
          <w:rFonts w:ascii="Consolas" w:cs="Consolas" w:eastAsia="Consolas" w:hAnsi="Consolas"/>
          <w:color w:val="22303F"/>
          <w:sz w:val="18"/>
          <w:szCs w:val="18"/>
        </w:rPr>
        <w:t xml:space="preserve">- RTL   &lt;how it differs from Prod today — this is the highest-value line in the brief&gt;</w:t>
      </w:r>
    </w:p>
    <w:p>
      <w:pPr>
        <w:shd w:fill="F4F6F9" w:val="clear"/>
        <w:spacing w:after="0" w:line="240"/>
        <w:ind w:left="170" w:right="170"/>
      </w:pPr>
      <w:r>
        <w:rPr>
          <w:rFonts w:ascii="Consolas" w:cs="Consolas" w:eastAsia="Consolas" w:hAnsi="Consolas"/>
          <w:color w:val="22303F"/>
          <w:sz w:val="18"/>
          <w:szCs w:val="18"/>
        </w:rPr>
        <w:t xml:space="preserve">- Dev-Test   &lt;what data it holds&gt;</w:t>
      </w:r>
    </w:p>
    <w:p>
      <w:pPr>
        <w:shd w:fill="F4F6F9" w:val="clear"/>
        <w:spacing w:after="0" w:line="240"/>
        <w:ind w:left="170" w:right="170"/>
      </w:pPr>
      <w:r>
        <w:rPr>
          <w:rFonts w:ascii="Consolas" w:cs="Consolas" w:eastAsia="Consolas" w:hAnsi="Consolas"/>
          <w:color w:val="22303F"/>
          <w:sz w:val="18"/>
          <w:szCs w:val="18"/>
        </w:rPr>
        <w:t xml:space="preserve"> </w:t>
      </w:r>
    </w:p>
    <w:p>
      <w:pPr>
        <w:shd w:fill="F4F6F9" w:val="clear"/>
        <w:spacing w:after="0" w:line="240"/>
        <w:ind w:left="170" w:right="170"/>
      </w:pPr>
      <w:r>
        <w:rPr>
          <w:rFonts w:ascii="Consolas" w:cs="Consolas" w:eastAsia="Consolas" w:hAnsi="Consolas"/>
          <w:color w:val="22303F"/>
          <w:sz w:val="18"/>
          <w:szCs w:val="18"/>
        </w:rPr>
        <w:t xml:space="preserve">## Constraints</w:t>
      </w:r>
    </w:p>
    <w:p>
      <w:pPr>
        <w:shd w:fill="F4F6F9" w:val="clear"/>
        <w:spacing w:after="0" w:line="240"/>
        <w:ind w:left="170" w:right="170"/>
      </w:pPr>
      <w:r>
        <w:rPr>
          <w:rFonts w:ascii="Consolas" w:cs="Consolas" w:eastAsia="Consolas" w:hAnsi="Consolas"/>
          <w:color w:val="22303F"/>
          <w:sz w:val="18"/>
          <w:szCs w:val="18"/>
        </w:rPr>
        <w:t xml:space="preserve">- &lt;Regulatory regimes that apply&gt;</w:t>
      </w:r>
    </w:p>
    <w:p>
      <w:pPr>
        <w:shd w:fill="F4F6F9" w:val="clear"/>
        <w:spacing w:after="0" w:line="240"/>
        <w:ind w:left="170" w:right="170"/>
      </w:pPr>
      <w:r>
        <w:rPr>
          <w:rFonts w:ascii="Consolas" w:cs="Consolas" w:eastAsia="Consolas" w:hAnsi="Consolas"/>
          <w:color w:val="22303F"/>
          <w:sz w:val="18"/>
          <w:szCs w:val="18"/>
        </w:rPr>
        <w:t xml:space="preserve">- &lt;Maximum-sensitivity data element in scope&gt;</w:t>
      </w:r>
    </w:p>
    <w:p>
      <w:pPr>
        <w:shd w:fill="F4F6F9" w:val="clear"/>
        <w:spacing w:after="0" w:line="240"/>
        <w:ind w:left="170" w:right="170"/>
      </w:pPr>
      <w:r>
        <w:rPr>
          <w:rFonts w:ascii="Consolas" w:cs="Consolas" w:eastAsia="Consolas" w:hAnsi="Consolas"/>
          <w:color w:val="22303F"/>
          <w:sz w:val="18"/>
          <w:szCs w:val="18"/>
        </w:rPr>
        <w:t xml:space="preserve">- &lt;Residency or sovereignty constraint&gt;</w:t>
      </w:r>
    </w:p>
    <w:p>
      <w:pPr>
        <w:shd w:fill="F4F6F9" w:val="clear"/>
        <w:spacing w:after="0" w:line="240"/>
        <w:ind w:left="170" w:right="170"/>
      </w:pPr>
      <w:r>
        <w:rPr>
          <w:rFonts w:ascii="Consolas" w:cs="Consolas" w:eastAsia="Consolas" w:hAnsi="Consolas"/>
          <w:color w:val="22303F"/>
          <w:sz w:val="18"/>
          <w:szCs w:val="18"/>
        </w:rPr>
        <w:t xml:space="preserve">- &lt;Any hard date, and whether it is externally imposed&gt;</w:t>
      </w:r>
    </w:p>
    <w:p>
      <w:pPr>
        <w:shd w:fill="F4F6F9" w:val="clear"/>
        <w:spacing w:after="0" w:line="240"/>
        <w:ind w:left="170" w:right="170"/>
      </w:pPr>
      <w:r>
        <w:rPr>
          <w:rFonts w:ascii="Consolas" w:cs="Consolas" w:eastAsia="Consolas" w:hAnsi="Consolas"/>
          <w:color w:val="22303F"/>
          <w:sz w:val="18"/>
          <w:szCs w:val="18"/>
        </w:rPr>
        <w:t xml:space="preserve">- &lt;Material third parties&gt;</w:t>
      </w:r>
    </w:p>
    <w:p>
      <w:pPr>
        <w:shd w:fill="F4F6F9" w:val="clear"/>
        <w:spacing w:after="160" w:line="240"/>
        <w:ind w:left="170" w:right="170"/>
      </w:pPr>
      <w:r>
        <w:rPr>
          <w:rFonts w:ascii="Consolas" w:cs="Consolas" w:eastAsia="Consolas" w:hAnsi="Consolas"/>
          <w:color w:val="22303F"/>
          <w:sz w:val="18"/>
          <w:szCs w:val="18"/>
        </w:rPr>
        <w:t xml:space="preserve">- &lt;Whatever volumetrics already exist — TPS, GB/day, user counts, regions&gt;</w:t>
      </w:r>
    </w:p>
    <w:p>
      <w:pPr>
        <w:pBdr>
          <w:left w:val="single" w:color="C8912B" w:sz="18"/>
        </w:pBdr>
        <w:shd w:fill="FBF7EC" w:val="clear"/>
        <w:spacing w:after="160" w:before="100" w:line="276"/>
        <w:ind w:left="170" w:right="170"/>
      </w:pPr>
      <w:r>
        <w:rPr>
          <w:color w:val="4A3A16"/>
          <w:sz w:val="20"/>
          <w:szCs w:val="20"/>
        </w:rPr>
        <w:t xml:space="preserve">Silence is recorded, not ignored. A brief that never mentions non-production has not established that non-production is out of scope — the intake will say so, and every domain will carry it as an assumption until someone answers.</w:t>
      </w:r>
    </w:p>
    <w:p>
      <w:pPr>
        <w:pStyle w:val="Heading2"/>
        <w:spacing w:after="120" w:before="280"/>
      </w:pPr>
      <w:r>
        <w:rPr>
          <w:b/>
          <w:bCs/>
          <w:color w:val="1F4E79"/>
          <w:sz w:val="24"/>
          <w:szCs w:val="24"/>
        </w:rPr>
        <w:t xml:space="preserve">5.2 Invoking the Master Architect</w:t>
      </w:r>
    </w:p>
    <w:p>
      <w:pPr>
        <w:spacing w:after="140" w:line="276"/>
      </w:pPr>
      <w:r>
        <w:rPr>
          <w:color w:val="1A1A1A"/>
          <w:sz w:val="21"/>
          <w:szCs w:val="21"/>
        </w:rPr>
        <w:t xml:space="preserve">For anything spanning two or more domains, or a whole direction.</w:t>
      </w:r>
    </w:p>
    <w:p>
      <w:pPr>
        <w:shd w:fill="F4F6F9" w:val="clear"/>
        <w:spacing w:after="0" w:line="240"/>
        <w:ind w:left="170" w:right="170"/>
      </w:pPr>
      <w:r>
        <w:rPr>
          <w:rFonts w:ascii="Consolas" w:cs="Consolas" w:eastAsia="Consolas" w:hAnsi="Consolas"/>
          <w:color w:val="22303F"/>
          <w:sz w:val="18"/>
          <w:szCs w:val="18"/>
        </w:rPr>
        <w:t xml:space="preserve">Use master-architect.</w:t>
      </w:r>
    </w:p>
    <w:p>
      <w:pPr>
        <w:shd w:fill="F4F6F9" w:val="clear"/>
        <w:spacing w:after="0" w:line="240"/>
        <w:ind w:left="170" w:right="170"/>
      </w:pPr>
      <w:r>
        <w:rPr>
          <w:rFonts w:ascii="Consolas" w:cs="Consolas" w:eastAsia="Consolas" w:hAnsi="Consolas"/>
          <w:color w:val="22303F"/>
          <w:sz w:val="18"/>
          <w:szCs w:val="18"/>
        </w:rPr>
        <w:t xml:space="preserve"> </w:t>
      </w:r>
    </w:p>
    <w:p>
      <w:pPr>
        <w:shd w:fill="F4F6F9" w:val="clear"/>
        <w:spacing w:after="0" w:line="240"/>
        <w:ind w:left="170" w:right="170"/>
      </w:pPr>
      <w:r>
        <w:rPr>
          <w:rFonts w:ascii="Consolas" w:cs="Consolas" w:eastAsia="Consolas" w:hAnsi="Consolas"/>
          <w:color w:val="22303F"/>
          <w:sz w:val="18"/>
          <w:szCs w:val="18"/>
        </w:rPr>
        <w:t xml:space="preserve">Direction: &lt;one line&gt;</w:t>
      </w:r>
    </w:p>
    <w:p>
      <w:pPr>
        <w:shd w:fill="F4F6F9" w:val="clear"/>
        <w:spacing w:after="0" w:line="240"/>
        <w:ind w:left="170" w:right="170"/>
      </w:pPr>
      <w:r>
        <w:rPr>
          <w:rFonts w:ascii="Consolas" w:cs="Consolas" w:eastAsia="Consolas" w:hAnsi="Consolas"/>
          <w:color w:val="22303F"/>
          <w:sz w:val="18"/>
          <w:szCs w:val="18"/>
        </w:rPr>
        <w:t xml:space="preserve">Brief: briefs/&lt;file&gt;.md</w:t>
      </w:r>
    </w:p>
    <w:p>
      <w:pPr>
        <w:shd w:fill="F4F6F9" w:val="clear"/>
        <w:spacing w:after="0" w:line="240"/>
        <w:ind w:left="170" w:right="170"/>
      </w:pPr>
      <w:r>
        <w:rPr>
          <w:rFonts w:ascii="Consolas" w:cs="Consolas" w:eastAsia="Consolas" w:hAnsi="Consolas"/>
          <w:color w:val="22303F"/>
          <w:sz w:val="18"/>
          <w:szCs w:val="18"/>
        </w:rPr>
        <w:t xml:space="preserve"> </w:t>
      </w:r>
    </w:p>
    <w:p>
      <w:pPr>
        <w:shd w:fill="F4F6F9" w:val="clear"/>
        <w:spacing w:after="0" w:line="240"/>
        <w:ind w:left="170" w:right="170"/>
      </w:pPr>
      <w:r>
        <w:rPr>
          <w:rFonts w:ascii="Consolas" w:cs="Consolas" w:eastAsia="Consolas" w:hAnsi="Consolas"/>
          <w:color w:val="22303F"/>
          <w:sz w:val="18"/>
          <w:szCs w:val="18"/>
        </w:rPr>
        <w:t xml:space="preserve">Run the engine first, then evaluate its reasoning. Specifically:</w:t>
      </w:r>
    </w:p>
    <w:p>
      <w:pPr>
        <w:shd w:fill="F4F6F9" w:val="clear"/>
        <w:spacing w:after="0" w:line="240"/>
        <w:ind w:left="170" w:right="170"/>
      </w:pPr>
      <w:r>
        <w:rPr>
          <w:rFonts w:ascii="Consolas" w:cs="Consolas" w:eastAsia="Consolas" w:hAnsi="Consolas"/>
          <w:color w:val="22303F"/>
          <w:sz w:val="18"/>
          <w:szCs w:val="18"/>
        </w:rPr>
        <w:t xml:space="preserve">  - Engage the Domain Architects for &lt;domains you know are load-bearing&gt;.</w:t>
      </w:r>
    </w:p>
    <w:p>
      <w:pPr>
        <w:shd w:fill="F4F6F9" w:val="clear"/>
        <w:spacing w:after="0" w:line="240"/>
        <w:ind w:left="170" w:right="170"/>
      </w:pPr>
      <w:r>
        <w:rPr>
          <w:rFonts w:ascii="Consolas" w:cs="Consolas" w:eastAsia="Consolas" w:hAnsi="Consolas"/>
          <w:color w:val="22303F"/>
          <w:sz w:val="18"/>
          <w:szCs w:val="18"/>
        </w:rPr>
        <w:t xml:space="preserve">  - The engine does not cover offensive security, human, physical or</w:t>
      </w:r>
    </w:p>
    <w:p>
      <w:pPr>
        <w:shd w:fill="F4F6F9" w:val="clear"/>
        <w:spacing w:after="0" w:line="240"/>
        <w:ind w:left="170" w:right="170"/>
      </w:pPr>
      <w:r>
        <w:rPr>
          <w:rFonts w:ascii="Consolas" w:cs="Consolas" w:eastAsia="Consolas" w:hAnsi="Consolas"/>
          <w:color w:val="22303F"/>
          <w:sz w:val="18"/>
          <w:szCs w:val="18"/>
        </w:rPr>
        <w:t xml:space="preserve">    emerging/specialised — engage those Architects if this direction touches them,</w:t>
      </w:r>
    </w:p>
    <w:p>
      <w:pPr>
        <w:shd w:fill="F4F6F9" w:val="clear"/>
        <w:spacing w:after="0" w:line="240"/>
        <w:ind w:left="170" w:right="170"/>
      </w:pPr>
      <w:r>
        <w:rPr>
          <w:rFonts w:ascii="Consolas" w:cs="Consolas" w:eastAsia="Consolas" w:hAnsi="Consolas"/>
          <w:color w:val="22303F"/>
          <w:sz w:val="18"/>
          <w:szCs w:val="18"/>
        </w:rPr>
        <w:t xml:space="preserve">    and tell me if it does not.</w:t>
      </w:r>
    </w:p>
    <w:p>
      <w:pPr>
        <w:shd w:fill="F4F6F9" w:val="clear"/>
        <w:spacing w:after="0" w:line="240"/>
        <w:ind w:left="170" w:right="170"/>
      </w:pPr>
      <w:r>
        <w:rPr>
          <w:rFonts w:ascii="Consolas" w:cs="Consolas" w:eastAsia="Consolas" w:hAnsi="Consolas"/>
          <w:color w:val="22303F"/>
          <w:sz w:val="18"/>
          <w:szCs w:val="18"/>
        </w:rPr>
        <w:t xml:space="preserve"> </w:t>
      </w:r>
    </w:p>
    <w:p>
      <w:pPr>
        <w:shd w:fill="F4F6F9" w:val="clear"/>
        <w:spacing w:after="0" w:line="240"/>
        <w:ind w:left="170" w:right="170"/>
      </w:pPr>
      <w:r>
        <w:rPr>
          <w:rFonts w:ascii="Consolas" w:cs="Consolas" w:eastAsia="Consolas" w:hAnsi="Consolas"/>
          <w:color w:val="22303F"/>
          <w:sz w:val="18"/>
          <w:szCs w:val="18"/>
        </w:rPr>
        <w:t xml:space="preserve">I want back:</w:t>
      </w:r>
    </w:p>
    <w:p>
      <w:pPr>
        <w:shd w:fill="F4F6F9" w:val="clear"/>
        <w:spacing w:after="0" w:line="240"/>
        <w:ind w:left="170" w:right="170"/>
      </w:pPr>
      <w:r>
        <w:rPr>
          <w:rFonts w:ascii="Consolas" w:cs="Consolas" w:eastAsia="Consolas" w:hAnsi="Consolas"/>
          <w:color w:val="22303F"/>
          <w:sz w:val="18"/>
          <w:szCs w:val="18"/>
        </w:rPr>
        <w:t xml:space="preserve">  - The verdict and why.</w:t>
      </w:r>
    </w:p>
    <w:p>
      <w:pPr>
        <w:shd w:fill="F4F6F9" w:val="clear"/>
        <w:spacing w:after="0" w:line="240"/>
        <w:ind w:left="170" w:right="170"/>
      </w:pPr>
      <w:r>
        <w:rPr>
          <w:rFonts w:ascii="Consolas" w:cs="Consolas" w:eastAsia="Consolas" w:hAnsi="Consolas"/>
          <w:color w:val="22303F"/>
          <w:sz w:val="18"/>
          <w:szCs w:val="18"/>
        </w:rPr>
        <w:t xml:space="preserve">  - Cross-domain contradictions, and any Assumed state you found.</w:t>
      </w:r>
    </w:p>
    <w:p>
      <w:pPr>
        <w:shd w:fill="F4F6F9" w:val="clear"/>
        <w:spacing w:after="0" w:line="240"/>
        <w:ind w:left="170" w:right="170"/>
      </w:pPr>
      <w:r>
        <w:rPr>
          <w:rFonts w:ascii="Consolas" w:cs="Consolas" w:eastAsia="Consolas" w:hAnsi="Consolas"/>
          <w:color w:val="22303F"/>
          <w:sz w:val="18"/>
          <w:szCs w:val="18"/>
        </w:rPr>
        <w:t xml:space="preserve">  - The numbers that most need pinning, in priority order.</w:t>
      </w:r>
    </w:p>
    <w:p>
      <w:pPr>
        <w:shd w:fill="F4F6F9" w:val="clear"/>
        <w:spacing w:after="0" w:line="240"/>
        <w:ind w:left="170" w:right="170"/>
      </w:pPr>
      <w:r>
        <w:rPr>
          <w:rFonts w:ascii="Consolas" w:cs="Consolas" w:eastAsia="Consolas" w:hAnsi="Consolas"/>
          <w:color w:val="22303F"/>
          <w:sz w:val="18"/>
          <w:szCs w:val="18"/>
        </w:rPr>
        <w:t xml:space="preserve">  - The blocking questions with their named owners.</w:t>
      </w:r>
    </w:p>
    <w:p>
      <w:pPr>
        <w:shd w:fill="F4F6F9" w:val="clear"/>
        <w:spacing w:after="0" w:line="240"/>
        <w:ind w:left="170" w:right="170"/>
      </w:pPr>
      <w:r>
        <w:rPr>
          <w:rFonts w:ascii="Consolas" w:cs="Consolas" w:eastAsia="Consolas" w:hAnsi="Consolas"/>
          <w:color w:val="22303F"/>
          <w:sz w:val="18"/>
          <w:szCs w:val="18"/>
        </w:rPr>
        <w:t xml:space="preserve"> </w:t>
      </w:r>
    </w:p>
    <w:p>
      <w:pPr>
        <w:shd w:fill="F4F6F9" w:val="clear"/>
        <w:spacing w:after="0" w:line="240"/>
        <w:ind w:left="170" w:right="170"/>
      </w:pPr>
      <w:r>
        <w:rPr>
          <w:rFonts w:ascii="Consolas" w:cs="Consolas" w:eastAsia="Consolas" w:hAnsi="Consolas"/>
          <w:color w:val="22303F"/>
          <w:sz w:val="18"/>
          <w:szCs w:val="18"/>
        </w:rPr>
        <w:t xml:space="preserve">Do not resolve a dependency by assumption. An unresolved dependency is a finding</w:t>
      </w:r>
    </w:p>
    <w:p>
      <w:pPr>
        <w:shd w:fill="F4F6F9" w:val="clear"/>
        <w:spacing w:after="160" w:line="240"/>
        <w:ind w:left="170" w:right="170"/>
      </w:pPr>
      <w:r>
        <w:rPr>
          <w:rFonts w:ascii="Consolas" w:cs="Consolas" w:eastAsia="Consolas" w:hAnsi="Consolas"/>
          <w:color w:val="22303F"/>
          <w:sz w:val="18"/>
          <w:szCs w:val="18"/>
        </w:rPr>
        <w:t xml:space="preserve">with an owner.</w:t>
      </w:r>
    </w:p>
    <w:p>
      <w:pPr>
        <w:pStyle w:val="Heading2"/>
        <w:spacing w:after="120" w:before="280"/>
      </w:pPr>
      <w:r>
        <w:rPr>
          <w:b/>
          <w:bCs/>
          <w:color w:val="1F4E79"/>
          <w:sz w:val="24"/>
          <w:szCs w:val="24"/>
        </w:rPr>
        <w:t xml:space="preserve">5.3 Invoking a Domain Architect</w:t>
      </w:r>
    </w:p>
    <w:p>
      <w:pPr>
        <w:shd w:fill="F4F6F9" w:val="clear"/>
        <w:spacing w:after="0" w:line="240"/>
        <w:ind w:left="170" w:right="170"/>
      </w:pPr>
      <w:r>
        <w:rPr>
          <w:rFonts w:ascii="Consolas" w:cs="Consolas" w:eastAsia="Consolas" w:hAnsi="Consolas"/>
          <w:color w:val="22303F"/>
          <w:sz w:val="18"/>
          <w:szCs w:val="18"/>
        </w:rPr>
        <w:t xml:space="preserve">Use architect-&lt;domain&gt;.</w:t>
      </w:r>
    </w:p>
    <w:p>
      <w:pPr>
        <w:shd w:fill="F4F6F9" w:val="clear"/>
        <w:spacing w:after="0" w:line="240"/>
        <w:ind w:left="170" w:right="170"/>
      </w:pPr>
      <w:r>
        <w:rPr>
          <w:rFonts w:ascii="Consolas" w:cs="Consolas" w:eastAsia="Consolas" w:hAnsi="Consolas"/>
          <w:color w:val="22303F"/>
          <w:sz w:val="18"/>
          <w:szCs w:val="18"/>
        </w:rPr>
        <w:t xml:space="preserve"> </w:t>
      </w:r>
    </w:p>
    <w:p>
      <w:pPr>
        <w:shd w:fill="F4F6F9" w:val="clear"/>
        <w:spacing w:after="0" w:line="240"/>
        <w:ind w:left="170" w:right="170"/>
      </w:pPr>
      <w:r>
        <w:rPr>
          <w:rFonts w:ascii="Consolas" w:cs="Consolas" w:eastAsia="Consolas" w:hAnsi="Consolas"/>
          <w:color w:val="22303F"/>
          <w:sz w:val="18"/>
          <w:szCs w:val="18"/>
        </w:rPr>
        <w:t xml:space="preserve">Context: &lt;the position or brief they need&gt;</w:t>
      </w:r>
    </w:p>
    <w:p>
      <w:pPr>
        <w:shd w:fill="F4F6F9" w:val="clear"/>
        <w:spacing w:after="0" w:line="240"/>
        <w:ind w:left="170" w:right="170"/>
      </w:pPr>
      <w:r>
        <w:rPr>
          <w:rFonts w:ascii="Consolas" w:cs="Consolas" w:eastAsia="Consolas" w:hAnsi="Consolas"/>
          <w:color w:val="22303F"/>
          <w:sz w:val="18"/>
          <w:szCs w:val="18"/>
        </w:rPr>
        <w:t xml:space="preserve">Question: &lt;the specific thing this domain must decide or assess&gt;</w:t>
      </w:r>
    </w:p>
    <w:p>
      <w:pPr>
        <w:shd w:fill="F4F6F9" w:val="clear"/>
        <w:spacing w:after="0" w:line="240"/>
        <w:ind w:left="170" w:right="170"/>
      </w:pPr>
      <w:r>
        <w:rPr>
          <w:rFonts w:ascii="Consolas" w:cs="Consolas" w:eastAsia="Consolas" w:hAnsi="Consolas"/>
          <w:color w:val="22303F"/>
          <w:sz w:val="18"/>
          <w:szCs w:val="18"/>
        </w:rPr>
        <w:t xml:space="preserve"> </w:t>
      </w:r>
    </w:p>
    <w:p>
      <w:pPr>
        <w:shd w:fill="F4F6F9" w:val="clear"/>
        <w:spacing w:after="0" w:line="240"/>
        <w:ind w:left="170" w:right="170"/>
      </w:pPr>
      <w:r>
        <w:rPr>
          <w:rFonts w:ascii="Consolas" w:cs="Consolas" w:eastAsia="Consolas" w:hAnsi="Consolas"/>
          <w:color w:val="22303F"/>
          <w:sz w:val="18"/>
          <w:szCs w:val="18"/>
        </w:rPr>
        <w:t xml:space="preserve">Fan out to the SMEs this actually touches — not all of them. Work each in isolation.</w:t>
      </w:r>
    </w:p>
    <w:p>
      <w:pPr>
        <w:shd w:fill="F4F6F9" w:val="clear"/>
        <w:spacing w:after="0" w:line="240"/>
        <w:ind w:left="170" w:right="170"/>
      </w:pPr>
      <w:r>
        <w:rPr>
          <w:rFonts w:ascii="Consolas" w:cs="Consolas" w:eastAsia="Consolas" w:hAnsi="Consolas"/>
          <w:color w:val="22303F"/>
          <w:sz w:val="18"/>
          <w:szCs w:val="18"/>
        </w:rPr>
        <w:t xml:space="preserve">Reconcile any disagreement rather than averaging it, and tell me which fact</w:t>
      </w:r>
    </w:p>
    <w:p>
      <w:pPr>
        <w:shd w:fill="F4F6F9" w:val="clear"/>
        <w:spacing w:after="0" w:line="240"/>
        <w:ind w:left="170" w:right="170"/>
      </w:pPr>
      <w:r>
        <w:rPr>
          <w:rFonts w:ascii="Consolas" w:cs="Consolas" w:eastAsia="Consolas" w:hAnsi="Consolas"/>
          <w:color w:val="22303F"/>
          <w:sz w:val="18"/>
          <w:szCs w:val="18"/>
        </w:rPr>
        <w:t xml:space="preserve">separated them.</w:t>
      </w:r>
    </w:p>
    <w:p>
      <w:pPr>
        <w:shd w:fill="F4F6F9" w:val="clear"/>
        <w:spacing w:after="0" w:line="240"/>
        <w:ind w:left="170" w:right="170"/>
      </w:pPr>
      <w:r>
        <w:rPr>
          <w:rFonts w:ascii="Consolas" w:cs="Consolas" w:eastAsia="Consolas" w:hAnsi="Consolas"/>
          <w:color w:val="22303F"/>
          <w:sz w:val="18"/>
          <w:szCs w:val="18"/>
        </w:rPr>
        <w:t xml:space="preserve"> </w:t>
      </w:r>
    </w:p>
    <w:p>
      <w:pPr>
        <w:shd w:fill="F4F6F9" w:val="clear"/>
        <w:spacing w:after="0" w:line="240"/>
        <w:ind w:left="170" w:right="170"/>
      </w:pPr>
      <w:r>
        <w:rPr>
          <w:rFonts w:ascii="Consolas" w:cs="Consolas" w:eastAsia="Consolas" w:hAnsi="Consolas"/>
          <w:color w:val="22303F"/>
          <w:sz w:val="18"/>
          <w:szCs w:val="18"/>
        </w:rPr>
        <w:t xml:space="preserve">Return: the domain position, which SMEs contributed what, open questions with</w:t>
      </w:r>
    </w:p>
    <w:p>
      <w:pPr>
        <w:shd w:fill="F4F6F9" w:val="clear"/>
        <w:spacing w:after="0" w:line="240"/>
        <w:ind w:left="170" w:right="170"/>
      </w:pPr>
      <w:r>
        <w:rPr>
          <w:rFonts w:ascii="Consolas" w:cs="Consolas" w:eastAsia="Consolas" w:hAnsi="Consolas"/>
          <w:color w:val="22303F"/>
          <w:sz w:val="18"/>
          <w:szCs w:val="18"/>
        </w:rPr>
        <w:t xml:space="preserve">owners, interoperability findings inside the domain, and any cross-domain</w:t>
      </w:r>
    </w:p>
    <w:p>
      <w:pPr>
        <w:shd w:fill="F4F6F9" w:val="clear"/>
        <w:spacing w:after="0" w:line="240"/>
        <w:ind w:left="170" w:right="170"/>
      </w:pPr>
      <w:r>
        <w:rPr>
          <w:rFonts w:ascii="Consolas" w:cs="Consolas" w:eastAsia="Consolas" w:hAnsi="Consolas"/>
          <w:color w:val="22303F"/>
          <w:sz w:val="18"/>
          <w:szCs w:val="18"/>
        </w:rPr>
        <w:t xml:space="preserve">dependency you could not resolve here.</w:t>
      </w:r>
    </w:p>
    <w:p>
      <w:pPr>
        <w:shd w:fill="F4F6F9" w:val="clear"/>
        <w:spacing w:after="0" w:line="240"/>
        <w:ind w:left="170" w:right="170"/>
      </w:pPr>
      <w:r>
        <w:rPr>
          <w:rFonts w:ascii="Consolas" w:cs="Consolas" w:eastAsia="Consolas" w:hAnsi="Consolas"/>
          <w:color w:val="22303F"/>
          <w:sz w:val="18"/>
          <w:szCs w:val="18"/>
        </w:rPr>
        <w:t xml:space="preserve"> </w:t>
      </w:r>
    </w:p>
    <w:p>
      <w:pPr>
        <w:shd w:fill="F4F6F9" w:val="clear"/>
        <w:spacing w:after="160" w:line="240"/>
        <w:ind w:left="170" w:right="170"/>
      </w:pPr>
      <w:r>
        <w:rPr>
          <w:rFonts w:ascii="Consolas" w:cs="Consolas" w:eastAsia="Consolas" w:hAnsi="Consolas"/>
          <w:color w:val="22303F"/>
          <w:sz w:val="18"/>
          <w:szCs w:val="18"/>
        </w:rPr>
        <w:t xml:space="preserve">Do not assume another domain's position. State it as a dependency.</w:t>
      </w:r>
    </w:p>
    <w:p>
      <w:pPr>
        <w:pStyle w:val="Heading2"/>
        <w:spacing w:after="120" w:before="280"/>
      </w:pPr>
      <w:r>
        <w:rPr>
          <w:b/>
          <w:bCs/>
          <w:color w:val="1F4E79"/>
          <w:sz w:val="24"/>
          <w:szCs w:val="24"/>
        </w:rPr>
        <w:t xml:space="preserve">5.4 Invoking an SME</w:t>
      </w:r>
    </w:p>
    <w:p>
      <w:pPr>
        <w:shd w:fill="F4F6F9" w:val="clear"/>
        <w:spacing w:after="0" w:line="240"/>
        <w:ind w:left="170" w:right="170"/>
      </w:pPr>
      <w:r>
        <w:rPr>
          <w:rFonts w:ascii="Consolas" w:cs="Consolas" w:eastAsia="Consolas" w:hAnsi="Consolas"/>
          <w:color w:val="22303F"/>
          <w:sz w:val="18"/>
          <w:szCs w:val="18"/>
        </w:rPr>
        <w:t xml:space="preserve">Use sme-&lt;capability&gt;.</w:t>
      </w:r>
    </w:p>
    <w:p>
      <w:pPr>
        <w:shd w:fill="F4F6F9" w:val="clear"/>
        <w:spacing w:after="0" w:line="240"/>
        <w:ind w:left="170" w:right="170"/>
      </w:pPr>
      <w:r>
        <w:rPr>
          <w:rFonts w:ascii="Consolas" w:cs="Consolas" w:eastAsia="Consolas" w:hAnsi="Consolas"/>
          <w:color w:val="22303F"/>
          <w:sz w:val="18"/>
          <w:szCs w:val="18"/>
        </w:rPr>
        <w:t xml:space="preserve"> </w:t>
      </w:r>
    </w:p>
    <w:p>
      <w:pPr>
        <w:shd w:fill="F4F6F9" w:val="clear"/>
        <w:spacing w:after="0" w:line="240"/>
        <w:ind w:left="170" w:right="170"/>
      </w:pPr>
      <w:r>
        <w:rPr>
          <w:rFonts w:ascii="Consolas" w:cs="Consolas" w:eastAsia="Consolas" w:hAnsi="Consolas"/>
          <w:color w:val="22303F"/>
          <w:sz w:val="18"/>
          <w:szCs w:val="18"/>
        </w:rPr>
        <w:t xml:space="preserve">Context: &lt;only what this capability needs — do not paste another SME's output&gt;</w:t>
      </w:r>
    </w:p>
    <w:p>
      <w:pPr>
        <w:shd w:fill="F4F6F9" w:val="clear"/>
        <w:spacing w:after="0" w:line="240"/>
        <w:ind w:left="170" w:right="170"/>
      </w:pPr>
      <w:r>
        <w:rPr>
          <w:rFonts w:ascii="Consolas" w:cs="Consolas" w:eastAsia="Consolas" w:hAnsi="Consolas"/>
          <w:color w:val="22303F"/>
          <w:sz w:val="18"/>
          <w:szCs w:val="18"/>
        </w:rPr>
        <w:t xml:space="preserve">Question: &lt;the specific question&gt;</w:t>
      </w:r>
    </w:p>
    <w:p>
      <w:pPr>
        <w:shd w:fill="F4F6F9" w:val="clear"/>
        <w:spacing w:after="0" w:line="240"/>
        <w:ind w:left="170" w:right="170"/>
      </w:pPr>
      <w:r>
        <w:rPr>
          <w:rFonts w:ascii="Consolas" w:cs="Consolas" w:eastAsia="Consolas" w:hAnsi="Consolas"/>
          <w:color w:val="22303F"/>
          <w:sz w:val="18"/>
          <w:szCs w:val="18"/>
        </w:rPr>
        <w:t xml:space="preserve"> </w:t>
      </w:r>
    </w:p>
    <w:p>
      <w:pPr>
        <w:shd w:fill="F4F6F9" w:val="clear"/>
        <w:spacing w:after="0" w:line="240"/>
        <w:ind w:left="170" w:right="170"/>
      </w:pPr>
      <w:r>
        <w:rPr>
          <w:rFonts w:ascii="Consolas" w:cs="Consolas" w:eastAsia="Consolas" w:hAnsi="Consolas"/>
          <w:color w:val="22303F"/>
          <w:sz w:val="18"/>
          <w:szCs w:val="18"/>
        </w:rPr>
        <w:t xml:space="preserve">Work in isolation. Return your position, what you refused to assume and why,</w:t>
      </w:r>
    </w:p>
    <w:p>
      <w:pPr>
        <w:shd w:fill="F4F6F9" w:val="clear"/>
        <w:spacing w:after="0" w:line="240"/>
        <w:ind w:left="170" w:right="170"/>
      </w:pPr>
      <w:r>
        <w:rPr>
          <w:rFonts w:ascii="Consolas" w:cs="Consolas" w:eastAsia="Consolas" w:hAnsi="Consolas"/>
          <w:color w:val="22303F"/>
          <w:sz w:val="18"/>
          <w:szCs w:val="18"/>
        </w:rPr>
        <w:t xml:space="preserve">your questions with the role that owns each, any same-domain routing request,</w:t>
      </w:r>
    </w:p>
    <w:p>
      <w:pPr>
        <w:shd w:fill="F4F6F9" w:val="clear"/>
        <w:spacing w:after="160" w:line="240"/>
        <w:ind w:left="170" w:right="170"/>
      </w:pPr>
      <w:r>
        <w:rPr>
          <w:rFonts w:ascii="Consolas" w:cs="Consolas" w:eastAsia="Consolas" w:hAnsi="Consolas"/>
          <w:color w:val="22303F"/>
          <w:sz w:val="18"/>
          <w:szCs w:val="18"/>
        </w:rPr>
        <w:t xml:space="preserve">and any cross-domain dependency.</w:t>
      </w:r>
    </w:p>
    <w:p>
      <w:pPr>
        <w:pBdr>
          <w:left w:val="single" w:color="C8912B" w:sz="18"/>
        </w:pBdr>
        <w:shd w:fill="FBF7EC" w:val="clear"/>
        <w:spacing w:after="160" w:before="100" w:line="276"/>
        <w:ind w:left="170" w:right="170"/>
      </w:pPr>
      <w:r>
        <w:rPr>
          <w:color w:val="4A3A16"/>
          <w:sz w:val="20"/>
          <w:szCs w:val="20"/>
        </w:rPr>
        <w:t xml:space="preserve">The one mistake worth avoiding: pasting another SME's conclusion into an SME prompt as background. A primed SME confirms rather than assesses, and you lose the independent reading you engaged it for.</w:t>
      </w:r>
    </w:p>
    <w:p>
      <w:r>
        <w:br w:type="page"/>
      </w:r>
    </w:p>
    <w:p>
      <w:pPr>
        <w:pStyle w:val="Heading1"/>
        <w:spacing w:after="160" w:before="360"/>
      </w:pPr>
      <w:r>
        <w:rPr>
          <w:b/>
          <w:bCs/>
          <w:color w:val="1F4E79"/>
          <w:sz w:val="30"/>
          <w:szCs w:val="30"/>
        </w:rPr>
        <w:t xml:space="preserve">6. Worked example — AI agents in the CI/CD pipeline</w:t>
      </w:r>
    </w:p>
    <w:p>
      <w:pPr>
        <w:spacing w:after="140" w:line="276"/>
      </w:pPr>
      <w:r>
        <w:rPr>
          <w:color w:val="1A1A1A"/>
          <w:sz w:val="21"/>
          <w:szCs w:val="21"/>
        </w:rPr>
        <w:t xml:space="preserve">An agentic SDLC: agents that read repository content, propose code changes, run pipeline stages, and in later phases merge low-risk changes without a human reviewer. The pipeline deploys customer-facing services. Regulated under PRA and FCA with DORA applying; SS1/23 model risk governance in play; two external model providers, at least one material; agents read Restricted design records as grounding context.</w:t>
      </w:r>
    </w:p>
    <w:p>
      <w:pPr>
        <w:spacing w:after="140" w:line="276"/>
      </w:pPr>
      <w:r>
        <w:rPr>
          <w:i/>
          <w:iCs/>
          <w:color w:val="5B6572"/>
          <w:sz w:val="21"/>
          <w:szCs w:val="21"/>
        </w:rPr>
        <w:t xml:space="preserve">This section is the actual output of a run, not an illustration.</w:t>
      </w:r>
    </w:p>
    <w:p>
      <w:pPr>
        <w:pStyle w:val="Heading2"/>
        <w:spacing w:after="120" w:before="280"/>
      </w:pPr>
      <w:r>
        <w:rPr>
          <w:b/>
          <w:bCs/>
          <w:color w:val="1F4E79"/>
          <w:sz w:val="24"/>
          <w:szCs w:val="24"/>
        </w:rPr>
        <w:t xml:space="preserve">6.1 The run</w:t>
      </w:r>
    </w:p>
    <w:p>
      <w:pPr>
        <w:shd w:fill="F4F6F9" w:val="clear"/>
        <w:spacing w:after="160" w:line="240"/>
        <w:ind w:left="170" w:right="170"/>
      </w:pPr>
      <w:r>
        <w:rPr>
          <w:rFonts w:ascii="Consolas" w:cs="Consolas" w:eastAsia="Consolas" w:hAnsi="Consolas"/>
          <w:color w:val="22303F"/>
          <w:sz w:val="18"/>
          <w:szCs w:val="18"/>
        </w:rPr>
        <w:t xml:space="preserve">python3 -m eas new --brief briefs/example-agentic-sdlc.md</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3400"/>
        <w:gridCol w:w="5626"/>
      </w:tblGrid>
      <w:tr>
        <w:trPr>
          <w:tblHeader/>
        </w:trPr>
        <w:tc>
          <w:tcPr>
            <w:tcW w:type="dxa" w:w="3400"/>
            <w:shd w:fill="EDF1F6" w:val="clear"/>
            <w:tcMar>
              <w:top w:type="dxa" w:w="70"/>
              <w:left w:type="dxa" w:w="100"/>
              <w:bottom w:type="dxa" w:w="70"/>
              <w:right w:type="dxa" w:w="100"/>
            </w:tcMar>
          </w:tcPr>
          <w:p>
            <w:pPr>
              <w:spacing w:after="0" w:line="250"/>
            </w:pPr>
            <w:r>
              <w:rPr>
                <w:b/>
                <w:bCs/>
                <w:color w:val="22303F"/>
                <w:sz w:val="18"/>
                <w:szCs w:val="18"/>
              </w:rPr>
              <w:t xml:space="preserve"/>
            </w:r>
          </w:p>
        </w:tc>
        <w:tc>
          <w:tcPr>
            <w:tcW w:type="dxa" w:w="5626"/>
            <w:shd w:fill="EDF1F6" w:val="clear"/>
            <w:tcMar>
              <w:top w:type="dxa" w:w="70"/>
              <w:left w:type="dxa" w:w="100"/>
              <w:bottom w:type="dxa" w:w="70"/>
              <w:right w:type="dxa" w:w="100"/>
            </w:tcMar>
          </w:tcPr>
          <w:p>
            <w:pPr>
              <w:spacing w:after="0" w:line="250"/>
            </w:pPr>
            <w:r>
              <w:rPr>
                <w:b/>
                <w:bCs/>
                <w:color w:val="22303F"/>
                <w:sz w:val="18"/>
                <w:szCs w:val="18"/>
              </w:rPr>
              <w:t xml:space="preserve"/>
            </w:r>
          </w:p>
        </w:tc>
      </w:tr>
      <w:tr>
        <w:tc>
          <w:tcPr>
            <w:tcW w:type="dxa" w:w="3400"/>
            <w:tcMar>
              <w:top w:type="dxa" w:w="70"/>
              <w:left w:type="dxa" w:w="100"/>
              <w:bottom w:type="dxa" w:w="70"/>
              <w:right w:type="dxa" w:w="100"/>
            </w:tcMar>
          </w:tcPr>
          <w:p>
            <w:pPr>
              <w:spacing w:after="0" w:line="250"/>
            </w:pPr>
            <w:r>
              <w:rPr>
                <w:color w:val="1A1A1A"/>
                <w:sz w:val="19"/>
                <w:szCs w:val="19"/>
              </w:rPr>
              <w:t xml:space="preserve">Complexity</w:t>
            </w:r>
          </w:p>
        </w:tc>
        <w:tc>
          <w:tcPr>
            <w:tcW w:type="dxa" w:w="5626"/>
            <w:tcMar>
              <w:top w:type="dxa" w:w="70"/>
              <w:left w:type="dxa" w:w="100"/>
              <w:bottom w:type="dxa" w:w="70"/>
              <w:right w:type="dxa" w:w="100"/>
            </w:tcMar>
          </w:tcPr>
          <w:p>
            <w:pPr>
              <w:spacing w:after="0" w:line="250"/>
            </w:pPr>
            <w:r>
              <w:rPr>
                <w:color w:val="1A1A1A"/>
                <w:sz w:val="19"/>
                <w:szCs w:val="19"/>
              </w:rPr>
              <w:t xml:space="preserve">T3 — multi-domain programme</w:t>
            </w:r>
          </w:p>
        </w:tc>
      </w:tr>
      <w:tr>
        <w:tc>
          <w:tcPr>
            <w:tcW w:type="dxa" w:w="3400"/>
            <w:tcMar>
              <w:top w:type="dxa" w:w="70"/>
              <w:left w:type="dxa" w:w="100"/>
              <w:bottom w:type="dxa" w:w="70"/>
              <w:right w:type="dxa" w:w="100"/>
            </w:tcMar>
          </w:tcPr>
          <w:p>
            <w:pPr>
              <w:spacing w:after="0" w:line="250"/>
            </w:pPr>
            <w:r>
              <w:rPr>
                <w:color w:val="1A1A1A"/>
                <w:sz w:val="19"/>
                <w:szCs w:val="19"/>
              </w:rPr>
              <w:t xml:space="preserve">Verdict</w:t>
            </w:r>
          </w:p>
        </w:tc>
        <w:tc>
          <w:tcPr>
            <w:tcW w:type="dxa" w:w="5626"/>
            <w:tcMar>
              <w:top w:type="dxa" w:w="70"/>
              <w:left w:type="dxa" w:w="100"/>
              <w:bottom w:type="dxa" w:w="70"/>
              <w:right w:type="dxa" w:w="100"/>
            </w:tcMar>
          </w:tcPr>
          <w:p>
            <w:pPr>
              <w:spacing w:after="0" w:line="250"/>
            </w:pPr>
            <w:r>
              <w:rPr>
                <w:color w:val="1A1A1A"/>
                <w:sz w:val="19"/>
                <w:szCs w:val="19"/>
              </w:rPr>
              <w:t xml:space="preserve">Not yet a base plate</w:t>
            </w:r>
          </w:p>
        </w:tc>
      </w:tr>
      <w:tr>
        <w:tc>
          <w:tcPr>
            <w:tcW w:type="dxa" w:w="3400"/>
            <w:tcMar>
              <w:top w:type="dxa" w:w="70"/>
              <w:left w:type="dxa" w:w="100"/>
              <w:bottom w:type="dxa" w:w="70"/>
              <w:right w:type="dxa" w:w="100"/>
            </w:tcMar>
          </w:tcPr>
          <w:p>
            <w:pPr>
              <w:spacing w:after="0" w:line="250"/>
            </w:pPr>
            <w:r>
              <w:rPr>
                <w:color w:val="1A1A1A"/>
                <w:sz w:val="19"/>
                <w:szCs w:val="19"/>
              </w:rPr>
              <w:t xml:space="preserve">Contradictions</w:t>
            </w:r>
          </w:p>
        </w:tc>
        <w:tc>
          <w:tcPr>
            <w:tcW w:type="dxa" w:w="5626"/>
            <w:tcMar>
              <w:top w:type="dxa" w:w="70"/>
              <w:left w:type="dxa" w:w="100"/>
              <w:bottom w:type="dxa" w:w="70"/>
              <w:right w:type="dxa" w:w="100"/>
            </w:tcMar>
          </w:tcPr>
          <w:p>
            <w:pPr>
              <w:spacing w:after="0" w:line="250"/>
            </w:pPr>
            <w:r>
              <w:rPr>
                <w:color w:val="1A1A1A"/>
                <w:sz w:val="19"/>
                <w:szCs w:val="19"/>
              </w:rPr>
              <w:t xml:space="preserve">0</w:t>
            </w:r>
          </w:p>
        </w:tc>
      </w:tr>
      <w:tr>
        <w:tc>
          <w:tcPr>
            <w:tcW w:type="dxa" w:w="3400"/>
            <w:tcMar>
              <w:top w:type="dxa" w:w="70"/>
              <w:left w:type="dxa" w:w="100"/>
              <w:bottom w:type="dxa" w:w="70"/>
              <w:right w:type="dxa" w:w="100"/>
            </w:tcMar>
          </w:tcPr>
          <w:p>
            <w:pPr>
              <w:spacing w:after="0" w:line="250"/>
            </w:pPr>
            <w:r>
              <w:rPr>
                <w:color w:val="1A1A1A"/>
                <w:sz w:val="19"/>
                <w:szCs w:val="19"/>
              </w:rPr>
              <w:t xml:space="preserve">Gaps</w:t>
            </w:r>
          </w:p>
        </w:tc>
        <w:tc>
          <w:tcPr>
            <w:tcW w:type="dxa" w:w="5626"/>
            <w:tcMar>
              <w:top w:type="dxa" w:w="70"/>
              <w:left w:type="dxa" w:w="100"/>
              <w:bottom w:type="dxa" w:w="70"/>
              <w:right w:type="dxa" w:w="100"/>
            </w:tcMar>
          </w:tcPr>
          <w:p>
            <w:pPr>
              <w:spacing w:after="0" w:line="250"/>
            </w:pPr>
            <w:r>
              <w:rPr>
                <w:color w:val="1A1A1A"/>
                <w:sz w:val="19"/>
                <w:szCs w:val="19"/>
              </w:rPr>
              <w:t xml:space="preserve">0</w:t>
            </w:r>
          </w:p>
        </w:tc>
      </w:tr>
      <w:tr>
        <w:tc>
          <w:tcPr>
            <w:tcW w:type="dxa" w:w="3400"/>
            <w:tcMar>
              <w:top w:type="dxa" w:w="70"/>
              <w:left w:type="dxa" w:w="100"/>
              <w:bottom w:type="dxa" w:w="70"/>
              <w:right w:type="dxa" w:w="100"/>
            </w:tcMar>
          </w:tcPr>
          <w:p>
            <w:pPr>
              <w:spacing w:after="0" w:line="250"/>
            </w:pPr>
            <w:r>
              <w:rPr>
                <w:color w:val="1A1A1A"/>
                <w:sz w:val="19"/>
                <w:szCs w:val="19"/>
              </w:rPr>
              <w:t xml:space="preserve">Unpinned sizing-critical anchors</w:t>
            </w:r>
          </w:p>
        </w:tc>
        <w:tc>
          <w:tcPr>
            <w:tcW w:type="dxa" w:w="5626"/>
            <w:tcMar>
              <w:top w:type="dxa" w:w="70"/>
              <w:left w:type="dxa" w:w="100"/>
              <w:bottom w:type="dxa" w:w="70"/>
              <w:right w:type="dxa" w:w="100"/>
            </w:tcMar>
          </w:tcPr>
          <w:p>
            <w:pPr>
              <w:spacing w:after="0" w:line="250"/>
            </w:pPr>
            <w:r>
              <w:rPr>
                <w:color w:val="1A1A1A"/>
                <w:sz w:val="19"/>
                <w:szCs w:val="19"/>
              </w:rPr>
              <w:t xml:space="preserve">65</w:t>
            </w:r>
          </w:p>
        </w:tc>
      </w:tr>
      <w:tr>
        <w:tc>
          <w:tcPr>
            <w:tcW w:type="dxa" w:w="3400"/>
            <w:tcMar>
              <w:top w:type="dxa" w:w="70"/>
              <w:left w:type="dxa" w:w="100"/>
              <w:bottom w:type="dxa" w:w="70"/>
              <w:right w:type="dxa" w:w="100"/>
            </w:tcMar>
          </w:tcPr>
          <w:p>
            <w:pPr>
              <w:spacing w:after="0" w:line="250"/>
            </w:pPr>
            <w:r>
              <w:rPr>
                <w:color w:val="1A1A1A"/>
                <w:sz w:val="19"/>
                <w:szCs w:val="19"/>
              </w:rPr>
              <w:t xml:space="preserve">Blocking questions</w:t>
            </w:r>
          </w:p>
        </w:tc>
        <w:tc>
          <w:tcPr>
            <w:tcW w:type="dxa" w:w="5626"/>
            <w:tcMar>
              <w:top w:type="dxa" w:w="70"/>
              <w:left w:type="dxa" w:w="100"/>
              <w:bottom w:type="dxa" w:w="70"/>
              <w:right w:type="dxa" w:w="100"/>
            </w:tcMar>
          </w:tcPr>
          <w:p>
            <w:pPr>
              <w:spacing w:after="0" w:line="250"/>
            </w:pPr>
            <w:r>
              <w:rPr>
                <w:color w:val="1A1A1A"/>
                <w:sz w:val="19"/>
                <w:szCs w:val="19"/>
              </w:rPr>
              <w:t xml:space="preserve">32</w:t>
            </w:r>
          </w:p>
        </w:tc>
      </w:tr>
      <w:tr>
        <w:tc>
          <w:tcPr>
            <w:tcW w:type="dxa" w:w="3400"/>
            <w:tcMar>
              <w:top w:type="dxa" w:w="70"/>
              <w:left w:type="dxa" w:w="100"/>
              <w:bottom w:type="dxa" w:w="70"/>
              <w:right w:type="dxa" w:w="100"/>
            </w:tcMar>
          </w:tcPr>
          <w:p>
            <w:pPr>
              <w:spacing w:after="0" w:line="250"/>
            </w:pPr>
            <w:r>
              <w:rPr>
                <w:color w:val="1A1A1A"/>
                <w:sz w:val="19"/>
                <w:szCs w:val="19"/>
              </w:rPr>
              <w:t xml:space="preserve">Risks recorded</w:t>
            </w:r>
          </w:p>
        </w:tc>
        <w:tc>
          <w:tcPr>
            <w:tcW w:type="dxa" w:w="5626"/>
            <w:tcMar>
              <w:top w:type="dxa" w:w="70"/>
              <w:left w:type="dxa" w:w="100"/>
              <w:bottom w:type="dxa" w:w="70"/>
              <w:right w:type="dxa" w:w="100"/>
            </w:tcMar>
          </w:tcPr>
          <w:p>
            <w:pPr>
              <w:spacing w:after="0" w:line="250"/>
            </w:pPr>
            <w:r>
              <w:rPr>
                <w:color w:val="1A1A1A"/>
                <w:sz w:val="19"/>
                <w:szCs w:val="19"/>
              </w:rPr>
              <w:t xml:space="preserve">42</w:t>
            </w:r>
          </w:p>
        </w:tc>
      </w:tr>
      <w:tr>
        <w:tc>
          <w:tcPr>
            <w:tcW w:type="dxa" w:w="3400"/>
            <w:tcMar>
              <w:top w:type="dxa" w:w="70"/>
              <w:left w:type="dxa" w:w="100"/>
              <w:bottom w:type="dxa" w:w="70"/>
              <w:right w:type="dxa" w:w="100"/>
            </w:tcMar>
          </w:tcPr>
          <w:p>
            <w:pPr>
              <w:spacing w:after="0" w:line="250"/>
            </w:pPr>
            <w:r>
              <w:rPr>
                <w:color w:val="1A1A1A"/>
                <w:sz w:val="19"/>
                <w:szCs w:val="19"/>
              </w:rPr>
              <w:t xml:space="preserve">Orchestrator repairs</w:t>
            </w:r>
          </w:p>
        </w:tc>
        <w:tc>
          <w:tcPr>
            <w:tcW w:type="dxa" w:w="5626"/>
            <w:tcMar>
              <w:top w:type="dxa" w:w="70"/>
              <w:left w:type="dxa" w:w="100"/>
              <w:bottom w:type="dxa" w:w="70"/>
              <w:right w:type="dxa" w:w="100"/>
            </w:tcMar>
          </w:tcPr>
          <w:p>
            <w:pPr>
              <w:spacing w:after="0" w:line="250"/>
            </w:pPr>
            <w:r>
              <w:rPr>
                <w:color w:val="1A1A1A"/>
                <w:sz w:val="19"/>
                <w:szCs w:val="19"/>
              </w:rPr>
              <w:t xml:space="preserve">2, both part of one coordinated pair</w:t>
            </w:r>
          </w:p>
        </w:tc>
      </w:tr>
      <w:tr>
        <w:tc>
          <w:tcPr>
            <w:tcW w:type="dxa" w:w="3400"/>
            <w:tcMar>
              <w:top w:type="dxa" w:w="70"/>
              <w:left w:type="dxa" w:w="100"/>
              <w:bottom w:type="dxa" w:w="70"/>
              <w:right w:type="dxa" w:w="100"/>
            </w:tcMar>
          </w:tcPr>
          <w:p>
            <w:pPr>
              <w:spacing w:after="0" w:line="250"/>
            </w:pPr>
            <w:r>
              <w:rPr>
                <w:color w:val="1A1A1A"/>
                <w:sz w:val="19"/>
                <w:szCs w:val="19"/>
              </w:rPr>
              <w:t xml:space="preserve">Rough estimate</w:t>
            </w:r>
          </w:p>
        </w:tc>
        <w:tc>
          <w:tcPr>
            <w:tcW w:type="dxa" w:w="5626"/>
            <w:tcMar>
              <w:top w:type="dxa" w:w="70"/>
              <w:left w:type="dxa" w:w="100"/>
              <w:bottom w:type="dxa" w:w="70"/>
              <w:right w:type="dxa" w:w="100"/>
            </w:tcMar>
          </w:tcPr>
          <w:p>
            <w:pPr>
              <w:spacing w:after="0" w:line="250"/>
            </w:pPr>
            <w:r>
              <w:rPr>
                <w:color w:val="1A1A1A"/>
                <w:sz w:val="19"/>
                <w:szCs w:val="19"/>
              </w:rPr>
              <w:t xml:space="preserve">15.5–35.8 months at ±40%</w:t>
            </w:r>
          </w:p>
        </w:tc>
      </w:tr>
    </w:tbl>
    <w:p>
      <w:pPr>
        <w:pBdr>
          <w:left w:val="single" w:color="C8912B" w:sz="18"/>
        </w:pBdr>
        <w:shd w:fill="FBF7EC" w:val="clear"/>
        <w:spacing w:after="160" w:before="100" w:line="276"/>
        <w:ind w:left="170" w:right="170"/>
      </w:pPr>
      <w:r>
        <w:rPr>
          <w:color w:val="4A3A16"/>
          <w:sz w:val="20"/>
          <w:szCs w:val="20"/>
        </w:rPr>
        <w:t xml:space="preserve">Not yet a base plate is the correct first-run verdict, not a failure. Nobody has pinned any numbers. The useful output of a first run is the list of anchors to chase and the blocking questions to assign.</w:t>
      </w:r>
    </w:p>
    <w:p>
      <w:pPr>
        <w:pStyle w:val="Heading2"/>
        <w:spacing w:after="120" w:before="280"/>
      </w:pPr>
      <w:r>
        <w:rPr>
          <w:b/>
          <w:bCs/>
          <w:color w:val="1F4E79"/>
          <w:sz w:val="24"/>
          <w:szCs w:val="24"/>
        </w:rPr>
        <w:t xml:space="preserve">6.2 The positions it reconciled to</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900"/>
        <w:gridCol w:w="4700"/>
        <w:gridCol w:w="3426"/>
      </w:tblGrid>
      <w:tr>
        <w:trPr>
          <w:tblHeader/>
        </w:trPr>
        <w:tc>
          <w:tcPr>
            <w:tcW w:type="dxa" w:w="900"/>
            <w:shd w:fill="EDF1F6" w:val="clear"/>
            <w:tcMar>
              <w:top w:type="dxa" w:w="70"/>
              <w:left w:type="dxa" w:w="100"/>
              <w:bottom w:type="dxa" w:w="70"/>
              <w:right w:type="dxa" w:w="100"/>
            </w:tcMar>
          </w:tcPr>
          <w:p>
            <w:pPr>
              <w:spacing w:after="0" w:line="250"/>
            </w:pPr>
            <w:r>
              <w:rPr>
                <w:b/>
                <w:bCs/>
                <w:color w:val="22303F"/>
                <w:sz w:val="18"/>
                <w:szCs w:val="18"/>
              </w:rPr>
              <w:t xml:space="preserve">Domain</w:t>
            </w:r>
          </w:p>
        </w:tc>
        <w:tc>
          <w:tcPr>
            <w:tcW w:type="dxa" w:w="4700"/>
            <w:shd w:fill="EDF1F6" w:val="clear"/>
            <w:tcMar>
              <w:top w:type="dxa" w:w="70"/>
              <w:left w:type="dxa" w:w="100"/>
              <w:bottom w:type="dxa" w:w="70"/>
              <w:right w:type="dxa" w:w="100"/>
            </w:tcMar>
          </w:tcPr>
          <w:p>
            <w:pPr>
              <w:spacing w:after="0" w:line="250"/>
            </w:pPr>
            <w:r>
              <w:rPr>
                <w:b/>
                <w:bCs/>
                <w:color w:val="22303F"/>
                <w:sz w:val="18"/>
                <w:szCs w:val="18"/>
              </w:rPr>
              <w:t xml:space="preserve">Position</w:t>
            </w:r>
          </w:p>
        </w:tc>
        <w:tc>
          <w:tcPr>
            <w:tcW w:type="dxa" w:w="3426"/>
            <w:shd w:fill="EDF1F6" w:val="clear"/>
            <w:tcMar>
              <w:top w:type="dxa" w:w="70"/>
              <w:left w:type="dxa" w:w="100"/>
              <w:bottom w:type="dxa" w:w="70"/>
              <w:right w:type="dxa" w:w="100"/>
            </w:tcMar>
          </w:tcPr>
          <w:p>
            <w:pPr>
              <w:spacing w:after="0" w:line="250"/>
            </w:pPr>
            <w:r>
              <w:rPr>
                <w:b/>
                <w:bCs/>
                <w:color w:val="22303F"/>
                <w:sz w:val="18"/>
                <w:szCs w:val="18"/>
              </w:rPr>
              <w:t xml:space="preserve">Note</w:t>
            </w:r>
          </w:p>
        </w:tc>
      </w:tr>
      <w:tr>
        <w:tc>
          <w:tcPr>
            <w:tcW w:type="dxa" w:w="900"/>
            <w:tcMar>
              <w:top w:type="dxa" w:w="70"/>
              <w:left w:type="dxa" w:w="100"/>
              <w:bottom w:type="dxa" w:w="70"/>
              <w:right w:type="dxa" w:w="100"/>
            </w:tcMar>
          </w:tcPr>
          <w:p>
            <w:pPr>
              <w:spacing w:after="0" w:line="250"/>
            </w:pPr>
            <w:r>
              <w:rPr>
                <w:color w:val="1A1A1A"/>
                <w:sz w:val="19"/>
                <w:szCs w:val="19"/>
              </w:rPr>
              <w:t xml:space="preserve">IAM</w:t>
            </w:r>
          </w:p>
        </w:tc>
        <w:tc>
          <w:tcPr>
            <w:tcW w:type="dxa" w:w="4700"/>
            <w:tcMar>
              <w:top w:type="dxa" w:w="70"/>
              <w:left w:type="dxa" w:w="100"/>
              <w:bottom w:type="dxa" w:w="70"/>
              <w:right w:type="dxa" w:w="100"/>
            </w:tcMar>
          </w:tcPr>
          <w:p>
            <w:pPr>
              <w:spacing w:after="0" w:line="250"/>
            </w:pPr>
            <w:r>
              <w:rPr>
                <w:color w:val="1A1A1A"/>
                <w:sz w:val="19"/>
                <w:szCs w:val="19"/>
              </w:rPr>
              <w:t xml:space="preserve">IAM-04 — Zero-trust identity fabric with mTLS and entitlement analytics</w:t>
            </w:r>
          </w:p>
        </w:tc>
        <w:tc>
          <w:tcPr>
            <w:tcW w:type="dxa" w:w="3426"/>
            <w:tcMar>
              <w:top w:type="dxa" w:w="70"/>
              <w:left w:type="dxa" w:w="100"/>
              <w:bottom w:type="dxa" w:w="70"/>
              <w:right w:type="dxa" w:w="100"/>
            </w:tcMar>
          </w:tcPr>
          <w:p>
            <w:pPr>
              <w:spacing w:after="0" w:line="250"/>
            </w:pPr>
            <w:r>
              <w:rPr>
                <w:color w:val="1A1A1A"/>
                <w:sz w:val="19"/>
                <w:szCs w:val="19"/>
              </w:rPr>
              <w:t xml:space="preserve">Not the domain's own first choice — see 6.3</w:t>
            </w:r>
          </w:p>
        </w:tc>
      </w:tr>
      <w:tr>
        <w:tc>
          <w:tcPr>
            <w:tcW w:type="dxa" w:w="900"/>
            <w:tcMar>
              <w:top w:type="dxa" w:w="70"/>
              <w:left w:type="dxa" w:w="100"/>
              <w:bottom w:type="dxa" w:w="70"/>
              <w:right w:type="dxa" w:w="100"/>
            </w:tcMar>
          </w:tcPr>
          <w:p>
            <w:pPr>
              <w:spacing w:after="0" w:line="250"/>
            </w:pPr>
            <w:r>
              <w:rPr>
                <w:color w:val="1A1A1A"/>
                <w:sz w:val="19"/>
                <w:szCs w:val="19"/>
              </w:rPr>
              <w:t xml:space="preserve">NET</w:t>
            </w:r>
          </w:p>
        </w:tc>
        <w:tc>
          <w:tcPr>
            <w:tcW w:type="dxa" w:w="4700"/>
            <w:tcMar>
              <w:top w:type="dxa" w:w="70"/>
              <w:left w:type="dxa" w:w="100"/>
              <w:bottom w:type="dxa" w:w="70"/>
              <w:right w:type="dxa" w:w="100"/>
            </w:tcMar>
          </w:tcPr>
          <w:p>
            <w:pPr>
              <w:spacing w:after="0" w:line="250"/>
            </w:pPr>
            <w:r>
              <w:rPr>
                <w:color w:val="1A1A1A"/>
                <w:sz w:val="19"/>
                <w:szCs w:val="19"/>
              </w:rPr>
              <w:t xml:space="preserve">NET-03 — Micro-segmented zero-trust network with identity-aware policy</w:t>
            </w:r>
          </w:p>
        </w:tc>
        <w:tc>
          <w:tcPr>
            <w:tcW w:type="dxa" w:w="3426"/>
            <w:tcMar>
              <w:top w:type="dxa" w:w="70"/>
              <w:left w:type="dxa" w:w="100"/>
              <w:bottom w:type="dxa" w:w="70"/>
              <w:right w:type="dxa" w:w="100"/>
            </w:tcMar>
          </w:tcPr>
          <w:p>
            <w:pPr>
              <w:spacing w:after="0" w:line="250"/>
            </w:pPr>
            <w:r>
              <w:rPr>
                <w:color w:val="1A1A1A"/>
                <w:sz w:val="19"/>
                <w:szCs w:val="19"/>
              </w:rPr>
              <w:t xml:space="preserve">Not the domain's own first choice — see 6.3</w:t>
            </w:r>
          </w:p>
        </w:tc>
      </w:tr>
      <w:tr>
        <w:tc>
          <w:tcPr>
            <w:tcW w:type="dxa" w:w="900"/>
            <w:tcMar>
              <w:top w:type="dxa" w:w="70"/>
              <w:left w:type="dxa" w:w="100"/>
              <w:bottom w:type="dxa" w:w="70"/>
              <w:right w:type="dxa" w:w="100"/>
            </w:tcMar>
          </w:tcPr>
          <w:p>
            <w:pPr>
              <w:spacing w:after="0" w:line="250"/>
            </w:pPr>
            <w:r>
              <w:rPr>
                <w:color w:val="1A1A1A"/>
                <w:sz w:val="19"/>
                <w:szCs w:val="19"/>
              </w:rPr>
              <w:t xml:space="preserve">DATA</w:t>
            </w:r>
          </w:p>
        </w:tc>
        <w:tc>
          <w:tcPr>
            <w:tcW w:type="dxa" w:w="4700"/>
            <w:tcMar>
              <w:top w:type="dxa" w:w="70"/>
              <w:left w:type="dxa" w:w="100"/>
              <w:bottom w:type="dxa" w:w="70"/>
              <w:right w:type="dxa" w:w="100"/>
            </w:tcMar>
          </w:tcPr>
          <w:p>
            <w:pPr>
              <w:spacing w:after="0" w:line="250"/>
            </w:pPr>
            <w:r>
              <w:rPr>
                <w:color w:val="1A1A1A"/>
                <w:sz w:val="19"/>
                <w:szCs w:val="19"/>
              </w:rPr>
              <w:t xml:space="preserve">DATA-02 — Customer-managed keys, per-flow classification, egress DLP</w:t>
            </w:r>
          </w:p>
        </w:tc>
        <w:tc>
          <w:tcPr>
            <w:tcW w:type="dxa" w:w="3426"/>
            <w:tcMar>
              <w:top w:type="dxa" w:w="70"/>
              <w:left w:type="dxa" w:w="100"/>
              <w:bottom w:type="dxa" w:w="70"/>
              <w:right w:type="dxa" w:w="100"/>
            </w:tcMar>
          </w:tcPr>
          <w:p>
            <w:pPr>
              <w:spacing w:after="0" w:line="250"/>
            </w:pPr>
            <w:r>
              <w:rPr>
                <w:color w:val="1A1A1A"/>
                <w:sz w:val="19"/>
                <w:szCs w:val="19"/>
              </w:rPr>
              <w:t xml:space="preserve"/>
            </w:r>
          </w:p>
        </w:tc>
      </w:tr>
      <w:tr>
        <w:tc>
          <w:tcPr>
            <w:tcW w:type="dxa" w:w="900"/>
            <w:tcMar>
              <w:top w:type="dxa" w:w="70"/>
              <w:left w:type="dxa" w:w="100"/>
              <w:bottom w:type="dxa" w:w="70"/>
              <w:right w:type="dxa" w:w="100"/>
            </w:tcMar>
          </w:tcPr>
          <w:p>
            <w:pPr>
              <w:spacing w:after="0" w:line="250"/>
            </w:pPr>
            <w:r>
              <w:rPr>
                <w:color w:val="1A1A1A"/>
                <w:sz w:val="19"/>
                <w:szCs w:val="19"/>
              </w:rPr>
              <w:t xml:space="preserve">INT</w:t>
            </w:r>
          </w:p>
        </w:tc>
        <w:tc>
          <w:tcPr>
            <w:tcW w:type="dxa" w:w="4700"/>
            <w:tcMar>
              <w:top w:type="dxa" w:w="70"/>
              <w:left w:type="dxa" w:w="100"/>
              <w:bottom w:type="dxa" w:w="70"/>
              <w:right w:type="dxa" w:w="100"/>
            </w:tcMar>
          </w:tcPr>
          <w:p>
            <w:pPr>
              <w:spacing w:after="0" w:line="250"/>
            </w:pPr>
            <w:r>
              <w:rPr>
                <w:color w:val="1A1A1A"/>
                <w:sz w:val="19"/>
                <w:szCs w:val="19"/>
              </w:rPr>
              <w:t xml:space="preserve">INT-04 — Governed third-party integration tier with exit and concentration management</w:t>
            </w:r>
          </w:p>
        </w:tc>
        <w:tc>
          <w:tcPr>
            <w:tcW w:type="dxa" w:w="3426"/>
            <w:tcMar>
              <w:top w:type="dxa" w:w="70"/>
              <w:left w:type="dxa" w:w="100"/>
              <w:bottom w:type="dxa" w:w="70"/>
              <w:right w:type="dxa" w:w="100"/>
            </w:tcMar>
          </w:tcPr>
          <w:p>
            <w:pPr>
              <w:spacing w:after="0" w:line="250"/>
            </w:pPr>
            <w:r>
              <w:rPr>
                <w:color w:val="1A1A1A"/>
                <w:sz w:val="19"/>
                <w:szCs w:val="19"/>
              </w:rPr>
              <w:t xml:space="preserve">The two model providers</w:t>
            </w:r>
          </w:p>
        </w:tc>
      </w:tr>
      <w:tr>
        <w:tc>
          <w:tcPr>
            <w:tcW w:type="dxa" w:w="900"/>
            <w:tcMar>
              <w:top w:type="dxa" w:w="70"/>
              <w:left w:type="dxa" w:w="100"/>
              <w:bottom w:type="dxa" w:w="70"/>
              <w:right w:type="dxa" w:w="100"/>
            </w:tcMar>
          </w:tcPr>
          <w:p>
            <w:pPr>
              <w:spacing w:after="0" w:line="250"/>
            </w:pPr>
            <w:r>
              <w:rPr>
                <w:color w:val="1A1A1A"/>
                <w:sz w:val="19"/>
                <w:szCs w:val="19"/>
              </w:rPr>
              <w:t xml:space="preserve">SEC</w:t>
            </w:r>
          </w:p>
        </w:tc>
        <w:tc>
          <w:tcPr>
            <w:tcW w:type="dxa" w:w="4700"/>
            <w:tcMar>
              <w:top w:type="dxa" w:w="70"/>
              <w:left w:type="dxa" w:w="100"/>
              <w:bottom w:type="dxa" w:w="70"/>
              <w:right w:type="dxa" w:w="100"/>
            </w:tcMar>
          </w:tcPr>
          <w:p>
            <w:pPr>
              <w:spacing w:after="0" w:line="250"/>
            </w:pPr>
            <w:r>
              <w:rPr>
                <w:color w:val="1A1A1A"/>
                <w:sz w:val="19"/>
                <w:szCs w:val="19"/>
              </w:rPr>
              <w:t xml:space="preserve">SEC-04 — Type 1 detection sources and Type 2 compliance logging both delivered</w:t>
            </w:r>
          </w:p>
        </w:tc>
        <w:tc>
          <w:tcPr>
            <w:tcW w:type="dxa" w:w="3426"/>
            <w:tcMar>
              <w:top w:type="dxa" w:w="70"/>
              <w:left w:type="dxa" w:w="100"/>
              <w:bottom w:type="dxa" w:w="70"/>
              <w:right w:type="dxa" w:w="100"/>
            </w:tcMar>
          </w:tcPr>
          <w:p>
            <w:pPr>
              <w:spacing w:after="0" w:line="250"/>
            </w:pPr>
            <w:r>
              <w:rPr>
                <w:color w:val="1A1A1A"/>
                <w:sz w:val="19"/>
                <w:szCs w:val="19"/>
              </w:rPr>
              <w:t xml:space="preserve"/>
            </w:r>
          </w:p>
        </w:tc>
      </w:tr>
      <w:tr>
        <w:tc>
          <w:tcPr>
            <w:tcW w:type="dxa" w:w="900"/>
            <w:tcMar>
              <w:top w:type="dxa" w:w="70"/>
              <w:left w:type="dxa" w:w="100"/>
              <w:bottom w:type="dxa" w:w="70"/>
              <w:right w:type="dxa" w:w="100"/>
            </w:tcMar>
          </w:tcPr>
          <w:p>
            <w:pPr>
              <w:spacing w:after="0" w:line="250"/>
            </w:pPr>
            <w:r>
              <w:rPr>
                <w:color w:val="1A1A1A"/>
                <w:sz w:val="19"/>
                <w:szCs w:val="19"/>
              </w:rPr>
              <w:t xml:space="preserve">PLAT</w:t>
            </w:r>
          </w:p>
        </w:tc>
        <w:tc>
          <w:tcPr>
            <w:tcW w:type="dxa" w:w="4700"/>
            <w:tcMar>
              <w:top w:type="dxa" w:w="70"/>
              <w:left w:type="dxa" w:w="100"/>
              <w:bottom w:type="dxa" w:w="70"/>
              <w:right w:type="dxa" w:w="100"/>
            </w:tcMar>
          </w:tcPr>
          <w:p>
            <w:pPr>
              <w:spacing w:after="0" w:line="250"/>
            </w:pPr>
            <w:r>
              <w:rPr>
                <w:color w:val="1A1A1A"/>
                <w:sz w:val="19"/>
                <w:szCs w:val="19"/>
              </w:rPr>
              <w:t xml:space="preserve">PLAT-02 — Signed artefacts, admission control, policy-gated IaC</w:t>
            </w:r>
          </w:p>
        </w:tc>
        <w:tc>
          <w:tcPr>
            <w:tcW w:type="dxa" w:w="3426"/>
            <w:tcMar>
              <w:top w:type="dxa" w:w="70"/>
              <w:left w:type="dxa" w:w="100"/>
              <w:bottom w:type="dxa" w:w="70"/>
              <w:right w:type="dxa" w:w="100"/>
            </w:tcMar>
          </w:tcPr>
          <w:p>
            <w:pPr>
              <w:spacing w:after="0" w:line="250"/>
            </w:pPr>
            <w:r>
              <w:rPr>
                <w:color w:val="1A1A1A"/>
                <w:sz w:val="19"/>
                <w:szCs w:val="19"/>
              </w:rPr>
              <w:t xml:space="preserve"/>
            </w:r>
          </w:p>
        </w:tc>
      </w:tr>
      <w:tr>
        <w:tc>
          <w:tcPr>
            <w:tcW w:type="dxa" w:w="900"/>
            <w:tcMar>
              <w:top w:type="dxa" w:w="70"/>
              <w:left w:type="dxa" w:w="100"/>
              <w:bottom w:type="dxa" w:w="70"/>
              <w:right w:type="dxa" w:w="100"/>
            </w:tcMar>
          </w:tcPr>
          <w:p>
            <w:pPr>
              <w:spacing w:after="0" w:line="250"/>
            </w:pPr>
            <w:r>
              <w:rPr>
                <w:color w:val="1A1A1A"/>
                <w:sz w:val="19"/>
                <w:szCs w:val="19"/>
              </w:rPr>
              <w:t xml:space="preserve">RES</w:t>
            </w:r>
          </w:p>
        </w:tc>
        <w:tc>
          <w:tcPr>
            <w:tcW w:type="dxa" w:w="4700"/>
            <w:tcMar>
              <w:top w:type="dxa" w:w="70"/>
              <w:left w:type="dxa" w:w="100"/>
              <w:bottom w:type="dxa" w:w="70"/>
              <w:right w:type="dxa" w:w="100"/>
            </w:tcMar>
          </w:tcPr>
          <w:p>
            <w:pPr>
              <w:spacing w:after="0" w:line="250"/>
            </w:pPr>
            <w:r>
              <w:rPr>
                <w:color w:val="1A1A1A"/>
                <w:sz w:val="19"/>
                <w:szCs w:val="19"/>
              </w:rPr>
              <w:t xml:space="preserve">RES-02 — Active-passive multi-region with tested failover</w:t>
            </w:r>
          </w:p>
        </w:tc>
        <w:tc>
          <w:tcPr>
            <w:tcW w:type="dxa" w:w="3426"/>
            <w:tcMar>
              <w:top w:type="dxa" w:w="70"/>
              <w:left w:type="dxa" w:w="100"/>
              <w:bottom w:type="dxa" w:w="70"/>
              <w:right w:type="dxa" w:w="100"/>
            </w:tcMar>
          </w:tcPr>
          <w:p>
            <w:pPr>
              <w:spacing w:after="0" w:line="250"/>
            </w:pPr>
            <w:r>
              <w:rPr>
                <w:color w:val="1A1A1A"/>
                <w:sz w:val="19"/>
                <w:szCs w:val="19"/>
              </w:rPr>
              <w:t xml:space="preserve"/>
            </w:r>
          </w:p>
        </w:tc>
      </w:tr>
      <w:tr>
        <w:tc>
          <w:tcPr>
            <w:tcW w:type="dxa" w:w="900"/>
            <w:tcMar>
              <w:top w:type="dxa" w:w="70"/>
              <w:left w:type="dxa" w:w="100"/>
              <w:bottom w:type="dxa" w:w="70"/>
              <w:right w:type="dxa" w:w="100"/>
            </w:tcMar>
          </w:tcPr>
          <w:p>
            <w:pPr>
              <w:spacing w:after="0" w:line="250"/>
            </w:pPr>
            <w:r>
              <w:rPr>
                <w:color w:val="1A1A1A"/>
                <w:sz w:val="19"/>
                <w:szCs w:val="19"/>
              </w:rPr>
              <w:t xml:space="preserve">GRC</w:t>
            </w:r>
          </w:p>
        </w:tc>
        <w:tc>
          <w:tcPr>
            <w:tcW w:type="dxa" w:w="4700"/>
            <w:tcMar>
              <w:top w:type="dxa" w:w="70"/>
              <w:left w:type="dxa" w:w="100"/>
              <w:bottom w:type="dxa" w:w="70"/>
              <w:right w:type="dxa" w:w="100"/>
            </w:tcMar>
          </w:tcPr>
          <w:p>
            <w:pPr>
              <w:spacing w:after="0" w:line="250"/>
            </w:pPr>
            <w:r>
              <w:rPr>
                <w:color w:val="1A1A1A"/>
                <w:sz w:val="19"/>
                <w:szCs w:val="19"/>
              </w:rPr>
              <w:t xml:space="preserve">GRC-03 — Full regulatory spine with model-risk governance and defensible scoring</w:t>
            </w:r>
          </w:p>
        </w:tc>
        <w:tc>
          <w:tcPr>
            <w:tcW w:type="dxa" w:w="3426"/>
            <w:tcMar>
              <w:top w:type="dxa" w:w="70"/>
              <w:left w:type="dxa" w:w="100"/>
              <w:bottom w:type="dxa" w:w="70"/>
              <w:right w:type="dxa" w:w="100"/>
            </w:tcMar>
          </w:tcPr>
          <w:p>
            <w:pPr>
              <w:spacing w:after="0" w:line="250"/>
            </w:pPr>
            <w:r>
              <w:rPr>
                <w:color w:val="1A1A1A"/>
                <w:sz w:val="19"/>
                <w:szCs w:val="19"/>
              </w:rPr>
              <w:t xml:space="preserve">SS1/23</w:t>
            </w:r>
          </w:p>
        </w:tc>
      </w:tr>
      <w:tr>
        <w:tc>
          <w:tcPr>
            <w:tcW w:type="dxa" w:w="900"/>
            <w:tcMar>
              <w:top w:type="dxa" w:w="70"/>
              <w:left w:type="dxa" w:w="100"/>
              <w:bottom w:type="dxa" w:w="70"/>
              <w:right w:type="dxa" w:w="100"/>
            </w:tcMar>
          </w:tcPr>
          <w:p>
            <w:pPr>
              <w:spacing w:after="0" w:line="250"/>
            </w:pPr>
            <w:r>
              <w:rPr>
                <w:color w:val="1A1A1A"/>
                <w:sz w:val="19"/>
                <w:szCs w:val="19"/>
              </w:rPr>
              <w:t xml:space="preserve">ENV</w:t>
            </w:r>
          </w:p>
        </w:tc>
        <w:tc>
          <w:tcPr>
            <w:tcW w:type="dxa" w:w="4700"/>
            <w:tcMar>
              <w:top w:type="dxa" w:w="70"/>
              <w:left w:type="dxa" w:w="100"/>
              <w:bottom w:type="dxa" w:w="70"/>
              <w:right w:type="dxa" w:w="100"/>
            </w:tcMar>
          </w:tcPr>
          <w:p>
            <w:pPr>
              <w:spacing w:after="0" w:line="250"/>
            </w:pPr>
            <w:r>
              <w:rPr>
                <w:color w:val="1A1A1A"/>
                <w:sz w:val="19"/>
                <w:szCs w:val="19"/>
              </w:rPr>
              <w:t xml:space="preserve">ENV-02 — Asserted parity with drift detection and enforced data policy</w:t>
            </w:r>
          </w:p>
        </w:tc>
        <w:tc>
          <w:tcPr>
            <w:tcW w:type="dxa" w:w="3426"/>
            <w:tcMar>
              <w:top w:type="dxa" w:w="70"/>
              <w:left w:type="dxa" w:w="100"/>
              <w:bottom w:type="dxa" w:w="70"/>
              <w:right w:type="dxa" w:w="100"/>
            </w:tcMar>
          </w:tcPr>
          <w:p>
            <w:pPr>
              <w:spacing w:after="0" w:line="250"/>
            </w:pPr>
            <w:r>
              <w:rPr>
                <w:color w:val="1A1A1A"/>
                <w:sz w:val="19"/>
                <w:szCs w:val="19"/>
              </w:rPr>
              <w:t xml:space="preserve"/>
            </w:r>
          </w:p>
        </w:tc>
      </w:tr>
    </w:tbl>
    <w:p>
      <w:pPr>
        <w:pStyle w:val="Heading2"/>
        <w:spacing w:after="120" w:before="280"/>
      </w:pPr>
      <w:r>
        <w:rPr>
          <w:b/>
          <w:bCs/>
          <w:color w:val="1F4E79"/>
          <w:sz w:val="24"/>
          <w:szCs w:val="24"/>
        </w:rPr>
        <w:t xml:space="preserve">6.3 Where the orchestrator overruled the domains</w:t>
      </w:r>
    </w:p>
    <w:p>
      <w:pPr>
        <w:spacing w:after="140" w:line="276"/>
      </w:pPr>
      <w:r>
        <w:rPr>
          <w:color w:val="1A1A1A"/>
          <w:sz w:val="21"/>
          <w:szCs w:val="21"/>
        </w:rPr>
        <w:t xml:space="preserve">Two domains did not get their own highest-scoring option, and the substitution was a coordinated pair — neither move helped on its own:</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1000"/>
        <w:gridCol w:w="1900"/>
        <w:gridCol w:w="2100"/>
        <w:gridCol w:w="4026"/>
      </w:tblGrid>
      <w:tr>
        <w:trPr>
          <w:tblHeader/>
        </w:trPr>
        <w:tc>
          <w:tcPr>
            <w:tcW w:type="dxa" w:w="1000"/>
            <w:shd w:fill="EDF1F6" w:val="clear"/>
            <w:tcMar>
              <w:top w:type="dxa" w:w="70"/>
              <w:left w:type="dxa" w:w="100"/>
              <w:bottom w:type="dxa" w:w="70"/>
              <w:right w:type="dxa" w:w="100"/>
            </w:tcMar>
          </w:tcPr>
          <w:p>
            <w:pPr>
              <w:spacing w:after="0" w:line="250"/>
            </w:pPr>
            <w:r>
              <w:rPr>
                <w:b/>
                <w:bCs/>
                <w:color w:val="22303F"/>
                <w:sz w:val="18"/>
                <w:szCs w:val="18"/>
              </w:rPr>
              <w:t xml:space="preserve">Domain</w:t>
            </w:r>
          </w:p>
        </w:tc>
        <w:tc>
          <w:tcPr>
            <w:tcW w:type="dxa" w:w="1900"/>
            <w:shd w:fill="EDF1F6" w:val="clear"/>
            <w:tcMar>
              <w:top w:type="dxa" w:w="70"/>
              <w:left w:type="dxa" w:w="100"/>
              <w:bottom w:type="dxa" w:w="70"/>
              <w:right w:type="dxa" w:w="100"/>
            </w:tcMar>
          </w:tcPr>
          <w:p>
            <w:pPr>
              <w:spacing w:after="0" w:line="250"/>
            </w:pPr>
            <w:r>
              <w:rPr>
                <w:b/>
                <w:bCs/>
                <w:color w:val="22303F"/>
                <w:sz w:val="18"/>
                <w:szCs w:val="18"/>
              </w:rPr>
              <w:t xml:space="preserve">Wanted</w:t>
            </w:r>
          </w:p>
        </w:tc>
        <w:tc>
          <w:tcPr>
            <w:tcW w:type="dxa" w:w="2100"/>
            <w:shd w:fill="EDF1F6" w:val="clear"/>
            <w:tcMar>
              <w:top w:type="dxa" w:w="70"/>
              <w:left w:type="dxa" w:w="100"/>
              <w:bottom w:type="dxa" w:w="70"/>
              <w:right w:type="dxa" w:w="100"/>
            </w:tcMar>
          </w:tcPr>
          <w:p>
            <w:pPr>
              <w:spacing w:after="0" w:line="250"/>
            </w:pPr>
            <w:r>
              <w:rPr>
                <w:b/>
                <w:bCs/>
                <w:color w:val="22303F"/>
                <w:sz w:val="18"/>
                <w:szCs w:val="18"/>
              </w:rPr>
              <w:t xml:space="preserve">Got</w:t>
            </w:r>
          </w:p>
        </w:tc>
        <w:tc>
          <w:tcPr>
            <w:tcW w:type="dxa" w:w="4026"/>
            <w:shd w:fill="EDF1F6" w:val="clear"/>
            <w:tcMar>
              <w:top w:type="dxa" w:w="70"/>
              <w:left w:type="dxa" w:w="100"/>
              <w:bottom w:type="dxa" w:w="70"/>
              <w:right w:type="dxa" w:w="100"/>
            </w:tcMar>
          </w:tcPr>
          <w:p>
            <w:pPr>
              <w:spacing w:after="0" w:line="250"/>
            </w:pPr>
            <w:r>
              <w:rPr>
                <w:b/>
                <w:bCs/>
                <w:color w:val="22303F"/>
                <w:sz w:val="18"/>
                <w:szCs w:val="18"/>
              </w:rPr>
              <w:t xml:space="preserve">Why</w:t>
            </w:r>
          </w:p>
        </w:tc>
      </w:tr>
      <w:tr>
        <w:tc>
          <w:tcPr>
            <w:tcW w:type="dxa" w:w="1000"/>
            <w:tcMar>
              <w:top w:type="dxa" w:w="70"/>
              <w:left w:type="dxa" w:w="100"/>
              <w:bottom w:type="dxa" w:w="70"/>
              <w:right w:type="dxa" w:w="100"/>
            </w:tcMar>
          </w:tcPr>
          <w:p>
            <w:pPr>
              <w:spacing w:after="0" w:line="250"/>
            </w:pPr>
            <w:r>
              <w:rPr>
                <w:color w:val="1A1A1A"/>
                <w:sz w:val="19"/>
                <w:szCs w:val="19"/>
              </w:rPr>
              <w:t xml:space="preserve">IAM</w:t>
            </w:r>
          </w:p>
        </w:tc>
        <w:tc>
          <w:tcPr>
            <w:tcW w:type="dxa" w:w="1900"/>
            <w:tcMar>
              <w:top w:type="dxa" w:w="70"/>
              <w:left w:type="dxa" w:w="100"/>
              <w:bottom w:type="dxa" w:w="70"/>
              <w:right w:type="dxa" w:w="100"/>
            </w:tcMar>
          </w:tcPr>
          <w:p>
            <w:pPr>
              <w:spacing w:after="0" w:line="250"/>
            </w:pPr>
            <w:r>
              <w:rPr>
                <w:color w:val="1A1A1A"/>
                <w:sz w:val="19"/>
                <w:szCs w:val="19"/>
              </w:rPr>
              <w:t xml:space="preserve">IAM-02 — central PDP</w:t>
            </w:r>
          </w:p>
        </w:tc>
        <w:tc>
          <w:tcPr>
            <w:tcW w:type="dxa" w:w="2100"/>
            <w:tcMar>
              <w:top w:type="dxa" w:w="70"/>
              <w:left w:type="dxa" w:w="100"/>
              <w:bottom w:type="dxa" w:w="70"/>
              <w:right w:type="dxa" w:w="100"/>
            </w:tcMar>
          </w:tcPr>
          <w:p>
            <w:pPr>
              <w:spacing w:after="0" w:line="250"/>
            </w:pPr>
            <w:r>
              <w:rPr>
                <w:color w:val="1A1A1A"/>
                <w:sz w:val="19"/>
                <w:szCs w:val="19"/>
              </w:rPr>
              <w:t xml:space="preserve">IAM-04 — zero-trust identity fabric</w:t>
            </w:r>
          </w:p>
        </w:tc>
        <w:tc>
          <w:tcPr>
            <w:tcW w:type="dxa" w:w="4026"/>
            <w:tcMar>
              <w:top w:type="dxa" w:w="70"/>
              <w:left w:type="dxa" w:w="100"/>
              <w:bottom w:type="dxa" w:w="70"/>
              <w:right w:type="dxa" w:w="100"/>
            </w:tcMar>
          </w:tcPr>
          <w:p>
            <w:pPr>
              <w:spacing w:after="0" w:line="250"/>
            </w:pPr>
            <w:r>
              <w:rPr>
                <w:color w:val="1A1A1A"/>
                <w:sz w:val="19"/>
                <w:szCs w:val="19"/>
              </w:rPr>
              <w:t xml:space="preserve">Agents act with an identity. Bounding what a compromised agent can reach needs identity strong enough to underpin per-hop policy, which IAM-02 does not deliver.</w:t>
            </w:r>
          </w:p>
        </w:tc>
      </w:tr>
      <w:tr>
        <w:tc>
          <w:tcPr>
            <w:tcW w:type="dxa" w:w="1000"/>
            <w:tcMar>
              <w:top w:type="dxa" w:w="70"/>
              <w:left w:type="dxa" w:w="100"/>
              <w:bottom w:type="dxa" w:w="70"/>
              <w:right w:type="dxa" w:w="100"/>
            </w:tcMar>
          </w:tcPr>
          <w:p>
            <w:pPr>
              <w:spacing w:after="0" w:line="250"/>
            </w:pPr>
            <w:r>
              <w:rPr>
                <w:color w:val="1A1A1A"/>
                <w:sz w:val="19"/>
                <w:szCs w:val="19"/>
              </w:rPr>
              <w:t xml:space="preserve">NET</w:t>
            </w:r>
          </w:p>
        </w:tc>
        <w:tc>
          <w:tcPr>
            <w:tcW w:type="dxa" w:w="1900"/>
            <w:tcMar>
              <w:top w:type="dxa" w:w="70"/>
              <w:left w:type="dxa" w:w="100"/>
              <w:bottom w:type="dxa" w:w="70"/>
              <w:right w:type="dxa" w:w="100"/>
            </w:tcMar>
          </w:tcPr>
          <w:p>
            <w:pPr>
              <w:spacing w:after="0" w:line="250"/>
            </w:pPr>
            <w:r>
              <w:rPr>
                <w:color w:val="1A1A1A"/>
                <w:sz w:val="19"/>
                <w:szCs w:val="19"/>
              </w:rPr>
              <w:t xml:space="preserve">NET-02 — private connectivity, inspected egress</w:t>
            </w:r>
          </w:p>
        </w:tc>
        <w:tc>
          <w:tcPr>
            <w:tcW w:type="dxa" w:w="2100"/>
            <w:tcMar>
              <w:top w:type="dxa" w:w="70"/>
              <w:left w:type="dxa" w:w="100"/>
              <w:bottom w:type="dxa" w:w="70"/>
              <w:right w:type="dxa" w:w="100"/>
            </w:tcMar>
          </w:tcPr>
          <w:p>
            <w:pPr>
              <w:spacing w:after="0" w:line="250"/>
            </w:pPr>
            <w:r>
              <w:rPr>
                <w:color w:val="1A1A1A"/>
                <w:sz w:val="19"/>
                <w:szCs w:val="19"/>
              </w:rPr>
              <w:t xml:space="preserve">NET-03 — micro-segmented, identity-aware</w:t>
            </w:r>
          </w:p>
        </w:tc>
        <w:tc>
          <w:tcPr>
            <w:tcW w:type="dxa" w:w="4026"/>
            <w:tcMar>
              <w:top w:type="dxa" w:w="70"/>
              <w:left w:type="dxa" w:w="100"/>
              <w:bottom w:type="dxa" w:w="70"/>
              <w:right w:type="dxa" w:w="100"/>
            </w:tcMar>
          </w:tcPr>
          <w:p>
            <w:pPr>
              <w:spacing w:after="0" w:line="250"/>
            </w:pPr>
            <w:r>
              <w:rPr>
                <w:color w:val="1A1A1A"/>
                <w:sz w:val="19"/>
                <w:szCs w:val="19"/>
              </w:rPr>
              <w:t xml:space="preserve">Without per-service-pair policy keyed on workload identity, an agent that can reach the network can reach every service on it.</w:t>
            </w:r>
          </w:p>
        </w:tc>
      </w:tr>
    </w:tbl>
    <w:p>
      <w:pPr>
        <w:spacing w:after="140" w:line="276"/>
      </w:pPr>
      <w:r>
        <w:rPr>
          <w:color w:val="1A1A1A"/>
          <w:sz w:val="21"/>
          <w:szCs w:val="21"/>
        </w:rPr>
        <w:t xml:space="preserve">This is the interrogation doing its job: the agentic pipeline's real risk is blast radius, and two domains that would each have chosen adequately in isolation were pulled up together because neither position contains an agent on its own.</w:t>
      </w:r>
    </w:p>
    <w:p>
      <w:pPr>
        <w:pStyle w:val="Heading2"/>
        <w:spacing w:after="120" w:before="280"/>
      </w:pPr>
      <w:r>
        <w:rPr>
          <w:b/>
          <w:bCs/>
          <w:color w:val="1F4E79"/>
          <w:sz w:val="24"/>
          <w:szCs w:val="24"/>
        </w:rPr>
        <w:t xml:space="preserve">6.4 The security exposures it surfaced</w:t>
      </w:r>
    </w:p>
    <w:p>
      <w:pPr>
        <w:spacing w:after="140" w:line="276"/>
      </w:pPr>
      <w:r>
        <w:rPr>
          <w:color w:val="1A1A1A"/>
          <w:sz w:val="21"/>
          <w:szCs w:val="21"/>
        </w:rPr>
        <w:t xml:space="preserve">Filtered up out of the nine low-level designs into the exec pack. Five High, of which these are the ones specific to putting agents in the pipeline:</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1100"/>
        <w:gridCol w:w="7926"/>
      </w:tblGrid>
      <w:tr>
        <w:trPr>
          <w:tblHeader/>
        </w:trPr>
        <w:tc>
          <w:tcPr>
            <w:tcW w:type="dxa" w:w="1100"/>
            <w:shd w:fill="EDF1F6" w:val="clear"/>
            <w:tcMar>
              <w:top w:type="dxa" w:w="70"/>
              <w:left w:type="dxa" w:w="100"/>
              <w:bottom w:type="dxa" w:w="70"/>
              <w:right w:type="dxa" w:w="100"/>
            </w:tcMar>
          </w:tcPr>
          <w:p>
            <w:pPr>
              <w:spacing w:after="0" w:line="250"/>
            </w:pPr>
            <w:r>
              <w:rPr>
                <w:b/>
                <w:bCs/>
                <w:color w:val="22303F"/>
                <w:sz w:val="18"/>
                <w:szCs w:val="18"/>
              </w:rPr>
              <w:t xml:space="preserve">Source</w:t>
            </w:r>
          </w:p>
        </w:tc>
        <w:tc>
          <w:tcPr>
            <w:tcW w:type="dxa" w:w="7926"/>
            <w:shd w:fill="EDF1F6" w:val="clear"/>
            <w:tcMar>
              <w:top w:type="dxa" w:w="70"/>
              <w:left w:type="dxa" w:w="100"/>
              <w:bottom w:type="dxa" w:w="70"/>
              <w:right w:type="dxa" w:w="100"/>
            </w:tcMar>
          </w:tcPr>
          <w:p>
            <w:pPr>
              <w:spacing w:after="0" w:line="250"/>
            </w:pPr>
            <w:r>
              <w:rPr>
                <w:b/>
                <w:bCs/>
                <w:color w:val="22303F"/>
                <w:sz w:val="18"/>
                <w:szCs w:val="18"/>
              </w:rPr>
              <w:t xml:space="preserve">Exposure</w:t>
            </w:r>
          </w:p>
        </w:tc>
      </w:tr>
      <w:tr>
        <w:tc>
          <w:tcPr>
            <w:tcW w:type="dxa" w:w="1100"/>
            <w:tcMar>
              <w:top w:type="dxa" w:w="70"/>
              <w:left w:type="dxa" w:w="100"/>
              <w:bottom w:type="dxa" w:w="70"/>
              <w:right w:type="dxa" w:w="100"/>
            </w:tcMar>
          </w:tcPr>
          <w:p>
            <w:pPr>
              <w:spacing w:after="0" w:line="250"/>
            </w:pPr>
            <w:r>
              <w:rPr>
                <w:color w:val="1A1A1A"/>
                <w:sz w:val="19"/>
                <w:szCs w:val="19"/>
              </w:rPr>
              <w:t xml:space="preserve">GRC-03</w:t>
            </w:r>
          </w:p>
        </w:tc>
        <w:tc>
          <w:tcPr>
            <w:tcW w:type="dxa" w:w="7926"/>
            <w:tcMar>
              <w:top w:type="dxa" w:w="70"/>
              <w:left w:type="dxa" w:w="100"/>
              <w:bottom w:type="dxa" w:w="70"/>
              <w:right w:type="dxa" w:w="100"/>
            </w:tcMar>
          </w:tcPr>
          <w:p>
            <w:pPr>
              <w:spacing w:after="0" w:line="250"/>
            </w:pPr>
            <w:r>
              <w:rPr>
                <w:color w:val="1A1A1A"/>
                <w:sz w:val="19"/>
                <w:szCs w:val="19"/>
              </w:rPr>
              <w:t xml:space="preserve">Models reachable from an untrusted input path can be manipulated through their inputs, and the manipulation is invisible in conventional application telemetry.</w:t>
            </w:r>
          </w:p>
        </w:tc>
      </w:tr>
      <w:tr>
        <w:tc>
          <w:tcPr>
            <w:tcW w:type="dxa" w:w="1100"/>
            <w:tcMar>
              <w:top w:type="dxa" w:w="70"/>
              <w:left w:type="dxa" w:w="100"/>
              <w:bottom w:type="dxa" w:w="70"/>
              <w:right w:type="dxa" w:w="100"/>
            </w:tcMar>
          </w:tcPr>
          <w:p>
            <w:pPr>
              <w:spacing w:after="0" w:line="250"/>
            </w:pPr>
            <w:r>
              <w:rPr>
                <w:color w:val="1A1A1A"/>
                <w:sz w:val="19"/>
                <w:szCs w:val="19"/>
              </w:rPr>
              <w:t xml:space="preserve">IAM-04</w:t>
            </w:r>
          </w:p>
        </w:tc>
        <w:tc>
          <w:tcPr>
            <w:tcW w:type="dxa" w:w="7926"/>
            <w:tcMar>
              <w:top w:type="dxa" w:w="70"/>
              <w:left w:type="dxa" w:w="100"/>
              <w:bottom w:type="dxa" w:w="70"/>
              <w:right w:type="dxa" w:w="100"/>
            </w:tcMar>
          </w:tcPr>
          <w:p>
            <w:pPr>
              <w:spacing w:after="0" w:line="250"/>
            </w:pPr>
            <w:r>
              <w:rPr>
                <w:color w:val="1A1A1A"/>
                <w:sz w:val="19"/>
                <w:szCs w:val="19"/>
              </w:rPr>
              <w:t xml:space="preserve">The trust anchor becomes the single highest-value asset in the estate: compromise of it forges any workload identity.</w:t>
            </w:r>
          </w:p>
        </w:tc>
      </w:tr>
      <w:tr>
        <w:tc>
          <w:tcPr>
            <w:tcW w:type="dxa" w:w="1100"/>
            <w:tcMar>
              <w:top w:type="dxa" w:w="70"/>
              <w:left w:type="dxa" w:w="100"/>
              <w:bottom w:type="dxa" w:w="70"/>
              <w:right w:type="dxa" w:w="100"/>
            </w:tcMar>
          </w:tcPr>
          <w:p>
            <w:pPr>
              <w:spacing w:after="0" w:line="250"/>
            </w:pPr>
            <w:r>
              <w:rPr>
                <w:color w:val="1A1A1A"/>
                <w:sz w:val="19"/>
                <w:szCs w:val="19"/>
              </w:rPr>
              <w:t xml:space="preserve">PLAT-02</w:t>
            </w:r>
          </w:p>
        </w:tc>
        <w:tc>
          <w:tcPr>
            <w:tcW w:type="dxa" w:w="7926"/>
            <w:tcMar>
              <w:top w:type="dxa" w:w="70"/>
              <w:left w:type="dxa" w:w="100"/>
              <w:bottom w:type="dxa" w:w="70"/>
              <w:right w:type="dxa" w:w="100"/>
            </w:tcMar>
          </w:tcPr>
          <w:p>
            <w:pPr>
              <w:spacing w:after="0" w:line="250"/>
            </w:pPr>
            <w:r>
              <w:rPr>
                <w:color w:val="1A1A1A"/>
                <w:sz w:val="19"/>
                <w:szCs w:val="19"/>
              </w:rPr>
              <w:t xml:space="preserve">Admission control enforced only in Prod makes non-prod the entry point for unverified artefacts — and non-prod is exactly where the agents run first.</w:t>
            </w:r>
          </w:p>
        </w:tc>
      </w:tr>
      <w:tr>
        <w:tc>
          <w:tcPr>
            <w:tcW w:type="dxa" w:w="1100"/>
            <w:tcMar>
              <w:top w:type="dxa" w:w="70"/>
              <w:left w:type="dxa" w:w="100"/>
              <w:bottom w:type="dxa" w:w="70"/>
              <w:right w:type="dxa" w:w="100"/>
            </w:tcMar>
          </w:tcPr>
          <w:p>
            <w:pPr>
              <w:spacing w:after="0" w:line="250"/>
            </w:pPr>
            <w:r>
              <w:rPr>
                <w:color w:val="1A1A1A"/>
                <w:sz w:val="19"/>
                <w:szCs w:val="19"/>
              </w:rPr>
              <w:t xml:space="preserve">SEC-04</w:t>
            </w:r>
          </w:p>
        </w:tc>
        <w:tc>
          <w:tcPr>
            <w:tcW w:type="dxa" w:w="7926"/>
            <w:tcMar>
              <w:top w:type="dxa" w:w="70"/>
              <w:left w:type="dxa" w:w="100"/>
              <w:bottom w:type="dxa" w:w="70"/>
              <w:right w:type="dxa" w:w="100"/>
            </w:tcMar>
          </w:tcPr>
          <w:p>
            <w:pPr>
              <w:spacing w:after="0" w:line="250"/>
            </w:pPr>
            <w:r>
              <w:rPr>
                <w:color w:val="1A1A1A"/>
                <w:sz w:val="19"/>
                <w:szCs w:val="19"/>
              </w:rPr>
              <w:t xml:space="preserve">Type 1 requirements are dynamic by design. Coverage agreed at go-live decays as the threat landscape moves; a system well covered at launch can be poorly covered two years later without anything changing on either side.</w:t>
            </w:r>
          </w:p>
        </w:tc>
      </w:tr>
      <w:tr>
        <w:tc>
          <w:tcPr>
            <w:tcW w:type="dxa" w:w="1100"/>
            <w:tcMar>
              <w:top w:type="dxa" w:w="70"/>
              <w:left w:type="dxa" w:w="100"/>
              <w:bottom w:type="dxa" w:w="70"/>
              <w:right w:type="dxa" w:w="100"/>
            </w:tcMar>
          </w:tcPr>
          <w:p>
            <w:pPr>
              <w:spacing w:after="0" w:line="250"/>
            </w:pPr>
            <w:r>
              <w:rPr>
                <w:color w:val="1A1A1A"/>
                <w:sz w:val="19"/>
                <w:szCs w:val="19"/>
              </w:rPr>
              <w:t xml:space="preserve">DATA-02</w:t>
            </w:r>
          </w:p>
        </w:tc>
        <w:tc>
          <w:tcPr>
            <w:tcW w:type="dxa" w:w="7926"/>
            <w:tcMar>
              <w:top w:type="dxa" w:w="70"/>
              <w:left w:type="dxa" w:w="100"/>
              <w:bottom w:type="dxa" w:w="70"/>
              <w:right w:type="dxa" w:w="100"/>
            </w:tcMar>
          </w:tcPr>
          <w:p>
            <w:pPr>
              <w:spacing w:after="0" w:line="250"/>
            </w:pPr>
            <w:r>
              <w:rPr>
                <w:color w:val="1A1A1A"/>
                <w:sz w:val="19"/>
                <w:szCs w:val="19"/>
              </w:rPr>
              <w:t xml:space="preserve">A key with broad blast radius makes key-management availability equivalent to data availability.</w:t>
            </w:r>
          </w:p>
        </w:tc>
      </w:tr>
    </w:tbl>
    <w:p>
      <w:pPr>
        <w:pStyle w:val="Heading2"/>
        <w:spacing w:after="120" w:before="280"/>
      </w:pPr>
      <w:r>
        <w:rPr>
          <w:b/>
          <w:bCs/>
          <w:color w:val="1F4E79"/>
          <w:sz w:val="24"/>
          <w:szCs w:val="24"/>
        </w:rPr>
        <w:t xml:space="preserve">6.5 The timeline and workaround risks</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1100"/>
        <w:gridCol w:w="900"/>
        <w:gridCol w:w="7026"/>
      </w:tblGrid>
      <w:tr>
        <w:trPr>
          <w:tblHeader/>
        </w:trPr>
        <w:tc>
          <w:tcPr>
            <w:tcW w:type="dxa" w:w="1100"/>
            <w:shd w:fill="EDF1F6" w:val="clear"/>
            <w:tcMar>
              <w:top w:type="dxa" w:w="70"/>
              <w:left w:type="dxa" w:w="100"/>
              <w:bottom w:type="dxa" w:w="70"/>
              <w:right w:type="dxa" w:w="100"/>
            </w:tcMar>
          </w:tcPr>
          <w:p>
            <w:pPr>
              <w:spacing w:after="0" w:line="250"/>
            </w:pPr>
            <w:r>
              <w:rPr>
                <w:b/>
                <w:bCs/>
                <w:color w:val="22303F"/>
                <w:sz w:val="18"/>
                <w:szCs w:val="18"/>
              </w:rPr>
              <w:t xml:space="preserve">Severity</w:t>
            </w:r>
          </w:p>
        </w:tc>
        <w:tc>
          <w:tcPr>
            <w:tcW w:type="dxa" w:w="900"/>
            <w:shd w:fill="EDF1F6" w:val="clear"/>
            <w:tcMar>
              <w:top w:type="dxa" w:w="70"/>
              <w:left w:type="dxa" w:w="100"/>
              <w:bottom w:type="dxa" w:w="70"/>
              <w:right w:type="dxa" w:w="100"/>
            </w:tcMar>
          </w:tcPr>
          <w:p>
            <w:pPr>
              <w:spacing w:after="0" w:line="250"/>
            </w:pPr>
            <w:r>
              <w:rPr>
                <w:b/>
                <w:bCs/>
                <w:color w:val="22303F"/>
                <w:sz w:val="18"/>
                <w:szCs w:val="18"/>
              </w:rPr>
              <w:t xml:space="preserve">Source</w:t>
            </w:r>
          </w:p>
        </w:tc>
        <w:tc>
          <w:tcPr>
            <w:tcW w:type="dxa" w:w="7026"/>
            <w:shd w:fill="EDF1F6" w:val="clear"/>
            <w:tcMar>
              <w:top w:type="dxa" w:w="70"/>
              <w:left w:type="dxa" w:w="100"/>
              <w:bottom w:type="dxa" w:w="70"/>
              <w:right w:type="dxa" w:w="100"/>
            </w:tcMar>
          </w:tcPr>
          <w:p>
            <w:pPr>
              <w:spacing w:after="0" w:line="250"/>
            </w:pPr>
            <w:r>
              <w:rPr>
                <w:b/>
                <w:bCs/>
                <w:color w:val="22303F"/>
                <w:sz w:val="18"/>
                <w:szCs w:val="18"/>
              </w:rPr>
              <w:t xml:space="preserve">Risk</w:t>
            </w:r>
          </w:p>
        </w:tc>
      </w:tr>
      <w:tr>
        <w:tc>
          <w:tcPr>
            <w:tcW w:type="dxa" w:w="1100"/>
            <w:tcMar>
              <w:top w:type="dxa" w:w="70"/>
              <w:left w:type="dxa" w:w="100"/>
              <w:bottom w:type="dxa" w:w="70"/>
              <w:right w:type="dxa" w:w="100"/>
            </w:tcMar>
          </w:tcPr>
          <w:p>
            <w:pPr>
              <w:spacing w:after="0" w:line="250"/>
            </w:pPr>
            <w:r>
              <w:rPr>
                <w:color w:val="1A1A1A"/>
                <w:sz w:val="19"/>
                <w:szCs w:val="19"/>
              </w:rPr>
              <w:t xml:space="preserve">Critical</w:t>
            </w:r>
          </w:p>
        </w:tc>
        <w:tc>
          <w:tcPr>
            <w:tcW w:type="dxa" w:w="900"/>
            <w:tcMar>
              <w:top w:type="dxa" w:w="70"/>
              <w:left w:type="dxa" w:w="100"/>
              <w:bottom w:type="dxa" w:w="70"/>
              <w:right w:type="dxa" w:w="100"/>
            </w:tcMar>
          </w:tcPr>
          <w:p>
            <w:pPr>
              <w:spacing w:after="0" w:line="250"/>
            </w:pPr>
            <w:r>
              <w:rPr>
                <w:color w:val="1A1A1A"/>
                <w:sz w:val="19"/>
                <w:szCs w:val="19"/>
              </w:rPr>
              <w:t xml:space="preserve">IAM-04</w:t>
            </w:r>
          </w:p>
        </w:tc>
        <w:tc>
          <w:tcPr>
            <w:tcW w:type="dxa" w:w="7026"/>
            <w:tcMar>
              <w:top w:type="dxa" w:w="70"/>
              <w:left w:type="dxa" w:w="100"/>
              <w:bottom w:type="dxa" w:w="70"/>
              <w:right w:type="dxa" w:w="100"/>
            </w:tcMar>
          </w:tcPr>
          <w:p>
            <w:pPr>
              <w:spacing w:after="0" w:line="250"/>
            </w:pPr>
            <w:r>
              <w:rPr>
                <w:color w:val="1A1A1A"/>
                <w:sz w:val="19"/>
                <w:szCs w:val="19"/>
              </w:rPr>
              <w:t xml:space="preserve">An identity fabric touches every workload, so its critical path runs through every delivery team at once. A single-team slip does not delay it, but a platform slip delays everyone.</w:t>
            </w:r>
          </w:p>
        </w:tc>
      </w:tr>
      <w:tr>
        <w:tc>
          <w:tcPr>
            <w:tcW w:type="dxa" w:w="1100"/>
            <w:tcMar>
              <w:top w:type="dxa" w:w="70"/>
              <w:left w:type="dxa" w:w="100"/>
              <w:bottom w:type="dxa" w:w="70"/>
              <w:right w:type="dxa" w:w="100"/>
            </w:tcMar>
          </w:tcPr>
          <w:p>
            <w:pPr>
              <w:spacing w:after="0" w:line="250"/>
            </w:pPr>
            <w:r>
              <w:rPr>
                <w:color w:val="1A1A1A"/>
                <w:sz w:val="19"/>
                <w:szCs w:val="19"/>
              </w:rPr>
              <w:t xml:space="preserve">Critical</w:t>
            </w:r>
          </w:p>
        </w:tc>
        <w:tc>
          <w:tcPr>
            <w:tcW w:type="dxa" w:w="900"/>
            <w:tcMar>
              <w:top w:type="dxa" w:w="70"/>
              <w:left w:type="dxa" w:w="100"/>
              <w:bottom w:type="dxa" w:w="70"/>
              <w:right w:type="dxa" w:w="100"/>
            </w:tcMar>
          </w:tcPr>
          <w:p>
            <w:pPr>
              <w:spacing w:after="0" w:line="250"/>
            </w:pPr>
            <w:r>
              <w:rPr>
                <w:color w:val="1A1A1A"/>
                <w:sz w:val="19"/>
                <w:szCs w:val="19"/>
              </w:rPr>
              <w:t xml:space="preserve">NET-03</w:t>
            </w:r>
          </w:p>
        </w:tc>
        <w:tc>
          <w:tcPr>
            <w:tcW w:type="dxa" w:w="7026"/>
            <w:tcMar>
              <w:top w:type="dxa" w:w="70"/>
              <w:left w:type="dxa" w:w="100"/>
              <w:bottom w:type="dxa" w:w="70"/>
              <w:right w:type="dxa" w:w="100"/>
            </w:tcMar>
          </w:tcPr>
          <w:p>
            <w:pPr>
              <w:spacing w:after="0" w:line="250"/>
            </w:pPr>
            <w:r>
              <w:rPr>
                <w:color w:val="1A1A1A"/>
                <w:sz w:val="19"/>
                <w:szCs w:val="19"/>
              </w:rPr>
              <w:t xml:space="preserve">The policy set cannot be written before the service-pair inventory is complete, and on a brownfield estate that inventory is discovered by observing traffic over weeks, not read from documentation.</w:t>
            </w:r>
          </w:p>
        </w:tc>
      </w:tr>
      <w:tr>
        <w:tc>
          <w:tcPr>
            <w:tcW w:type="dxa" w:w="1100"/>
            <w:tcMar>
              <w:top w:type="dxa" w:w="70"/>
              <w:left w:type="dxa" w:w="100"/>
              <w:bottom w:type="dxa" w:w="70"/>
              <w:right w:type="dxa" w:w="100"/>
            </w:tcMar>
          </w:tcPr>
          <w:p>
            <w:pPr>
              <w:spacing w:after="0" w:line="250"/>
            </w:pPr>
            <w:r>
              <w:rPr>
                <w:color w:val="1A1A1A"/>
                <w:sz w:val="19"/>
                <w:szCs w:val="19"/>
              </w:rPr>
              <w:t xml:space="preserve">High</w:t>
            </w:r>
          </w:p>
        </w:tc>
        <w:tc>
          <w:tcPr>
            <w:tcW w:type="dxa" w:w="900"/>
            <w:tcMar>
              <w:top w:type="dxa" w:w="70"/>
              <w:left w:type="dxa" w:w="100"/>
              <w:bottom w:type="dxa" w:w="70"/>
              <w:right w:type="dxa" w:w="100"/>
            </w:tcMar>
          </w:tcPr>
          <w:p>
            <w:pPr>
              <w:spacing w:after="0" w:line="250"/>
            </w:pPr>
            <w:r>
              <w:rPr>
                <w:color w:val="1A1A1A"/>
                <w:sz w:val="19"/>
                <w:szCs w:val="19"/>
              </w:rPr>
              <w:t xml:space="preserve">INT-04</w:t>
            </w:r>
          </w:p>
        </w:tc>
        <w:tc>
          <w:tcPr>
            <w:tcW w:type="dxa" w:w="7026"/>
            <w:tcMar>
              <w:top w:type="dxa" w:w="70"/>
              <w:left w:type="dxa" w:w="100"/>
              <w:bottom w:type="dxa" w:w="70"/>
              <w:right w:type="dxa" w:w="100"/>
            </w:tcMar>
          </w:tcPr>
          <w:p>
            <w:pPr>
              <w:spacing w:after="0" w:line="250"/>
            </w:pPr>
            <w:r>
              <w:rPr>
                <w:color w:val="1A1A1A"/>
                <w:sz w:val="19"/>
                <w:szCs w:val="19"/>
              </w:rPr>
              <w:t xml:space="preserve">An exit plan that exists on paper but has never been costed or rehearsed will not satisfy supervisory challenge, and the gap surfaces during a review rather than during design.</w:t>
            </w:r>
          </w:p>
        </w:tc>
      </w:tr>
      <w:tr>
        <w:tc>
          <w:tcPr>
            <w:tcW w:type="dxa" w:w="1100"/>
            <w:tcMar>
              <w:top w:type="dxa" w:w="70"/>
              <w:left w:type="dxa" w:w="100"/>
              <w:bottom w:type="dxa" w:w="70"/>
              <w:right w:type="dxa" w:w="100"/>
            </w:tcMar>
          </w:tcPr>
          <w:p>
            <w:pPr>
              <w:spacing w:after="0" w:line="250"/>
            </w:pPr>
            <w:r>
              <w:rPr>
                <w:color w:val="1A1A1A"/>
                <w:sz w:val="19"/>
                <w:szCs w:val="19"/>
              </w:rPr>
              <w:t xml:space="preserve">High</w:t>
            </w:r>
          </w:p>
        </w:tc>
        <w:tc>
          <w:tcPr>
            <w:tcW w:type="dxa" w:w="900"/>
            <w:tcMar>
              <w:top w:type="dxa" w:w="70"/>
              <w:left w:type="dxa" w:w="100"/>
              <w:bottom w:type="dxa" w:w="70"/>
              <w:right w:type="dxa" w:w="100"/>
            </w:tcMar>
          </w:tcPr>
          <w:p>
            <w:pPr>
              <w:spacing w:after="0" w:line="250"/>
            </w:pPr>
            <w:r>
              <w:rPr>
                <w:color w:val="1A1A1A"/>
                <w:sz w:val="19"/>
                <w:szCs w:val="19"/>
              </w:rPr>
              <w:t xml:space="preserve">INT-04</w:t>
            </w:r>
          </w:p>
        </w:tc>
        <w:tc>
          <w:tcPr>
            <w:tcW w:type="dxa" w:w="7026"/>
            <w:tcMar>
              <w:top w:type="dxa" w:w="70"/>
              <w:left w:type="dxa" w:w="100"/>
              <w:bottom w:type="dxa" w:w="70"/>
              <w:right w:type="dxa" w:w="100"/>
            </w:tcMar>
          </w:tcPr>
          <w:p>
            <w:pPr>
              <w:spacing w:after="0" w:line="250"/>
            </w:pPr>
            <w:r>
              <w:rPr>
                <w:color w:val="1A1A1A"/>
                <w:sz w:val="19"/>
                <w:szCs w:val="19"/>
              </w:rPr>
              <w:t xml:space="preserve">Concentration through a shared fourth party is invisible in per-party assessments — relevant where two model providers may sit on the same underlying infrastructure.</w:t>
            </w:r>
          </w:p>
        </w:tc>
      </w:tr>
    </w:tbl>
    <w:p>
      <w:pPr>
        <w:pStyle w:val="Heading2"/>
        <w:spacing w:after="120" w:before="280"/>
      </w:pPr>
      <w:r>
        <w:rPr>
          <w:b/>
          <w:bCs/>
          <w:color w:val="1F4E79"/>
          <w:sz w:val="24"/>
          <w:szCs w:val="24"/>
        </w:rPr>
        <w:t xml:space="preserve">6.6 The roadmap it derived</w:t>
      </w:r>
    </w:p>
    <w:p>
      <w:pPr>
        <w:spacing w:after="140" w:line="276"/>
      </w:pPr>
      <w:r>
        <w:rPr>
          <w:color w:val="1A1A1A"/>
          <w:sz w:val="21"/>
          <w:szCs w:val="21"/>
        </w:rPr>
        <w:t xml:space="preserve">Waves are the layers of the dependency graph. A domain in a later wave starts once its providers are half-way through, which is when the interface it consumes is stable — full serialisation would produce a figure no delivery would recognise.</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5426"/>
        <w:gridCol w:w="1800"/>
        <w:gridCol w:w="1800"/>
      </w:tblGrid>
      <w:tr>
        <w:trPr>
          <w:tblHeader/>
        </w:trPr>
        <w:tc>
          <w:tcPr>
            <w:tcW w:type="dxa" w:w="5426"/>
            <w:shd w:fill="EDF1F6" w:val="clear"/>
            <w:tcMar>
              <w:top w:type="dxa" w:w="70"/>
              <w:left w:type="dxa" w:w="100"/>
              <w:bottom w:type="dxa" w:w="70"/>
              <w:right w:type="dxa" w:w="100"/>
            </w:tcMar>
          </w:tcPr>
          <w:p>
            <w:pPr>
              <w:spacing w:after="0" w:line="250"/>
            </w:pPr>
            <w:r>
              <w:rPr>
                <w:b/>
                <w:bCs/>
                <w:color w:val="22303F"/>
                <w:sz w:val="18"/>
                <w:szCs w:val="18"/>
              </w:rPr>
              <w:t xml:space="preserve">Phase</w:t>
            </w:r>
          </w:p>
        </w:tc>
        <w:tc>
          <w:tcPr>
            <w:tcW w:type="dxa" w:w="1800"/>
            <w:shd w:fill="EDF1F6" w:val="clear"/>
            <w:tcMar>
              <w:top w:type="dxa" w:w="70"/>
              <w:left w:type="dxa" w:w="100"/>
              <w:bottom w:type="dxa" w:w="70"/>
              <w:right w:type="dxa" w:w="100"/>
            </w:tcMar>
          </w:tcPr>
          <w:p>
            <w:pPr>
              <w:spacing w:after="0" w:line="250"/>
            </w:pPr>
            <w:r>
              <w:rPr>
                <w:b/>
                <w:bCs/>
                <w:color w:val="22303F"/>
                <w:sz w:val="18"/>
                <w:szCs w:val="18"/>
              </w:rPr>
              <w:t xml:space="preserve">Weeks</w:t>
            </w:r>
          </w:p>
        </w:tc>
        <w:tc>
          <w:tcPr>
            <w:tcW w:type="dxa" w:w="1800"/>
            <w:shd w:fill="EDF1F6" w:val="clear"/>
            <w:tcMar>
              <w:top w:type="dxa" w:w="70"/>
              <w:left w:type="dxa" w:w="100"/>
              <w:bottom w:type="dxa" w:w="70"/>
              <w:right w:type="dxa" w:w="100"/>
            </w:tcMar>
          </w:tcPr>
          <w:p>
            <w:pPr>
              <w:spacing w:after="0" w:line="250"/>
            </w:pPr>
            <w:r>
              <w:rPr>
                <w:b/>
                <w:bCs/>
                <w:color w:val="22303F"/>
                <w:sz w:val="18"/>
                <w:szCs w:val="18"/>
              </w:rPr>
              <w:t xml:space="preserve">Elapsed</w:t>
            </w:r>
          </w:p>
        </w:tc>
      </w:tr>
      <w:tr>
        <w:tc>
          <w:tcPr>
            <w:tcW w:type="dxa" w:w="5426"/>
            <w:tcMar>
              <w:top w:type="dxa" w:w="70"/>
              <w:left w:type="dxa" w:w="100"/>
              <w:bottom w:type="dxa" w:w="70"/>
              <w:right w:type="dxa" w:w="100"/>
            </w:tcMar>
          </w:tcPr>
          <w:p>
            <w:pPr>
              <w:spacing w:after="0" w:line="250"/>
            </w:pPr>
            <w:r>
              <w:rPr>
                <w:color w:val="1A1A1A"/>
                <w:sz w:val="19"/>
                <w:szCs w:val="19"/>
              </w:rPr>
              <w:t xml:space="preserve">Mobilise, discover, answer the blocking questions</w:t>
            </w:r>
          </w:p>
        </w:tc>
        <w:tc>
          <w:tcPr>
            <w:tcW w:type="dxa" w:w="1800"/>
            <w:tcMar>
              <w:top w:type="dxa" w:w="70"/>
              <w:left w:type="dxa" w:w="100"/>
              <w:bottom w:type="dxa" w:w="70"/>
              <w:right w:type="dxa" w:w="100"/>
            </w:tcMar>
          </w:tcPr>
          <w:p>
            <w:pPr>
              <w:spacing w:after="0" w:line="250"/>
            </w:pPr>
            <w:r>
              <w:rPr>
                <w:color w:val="1A1A1A"/>
                <w:sz w:val="19"/>
                <w:szCs w:val="19"/>
              </w:rPr>
              <w:t xml:space="preserve">6</w:t>
            </w:r>
          </w:p>
        </w:tc>
        <w:tc>
          <w:tcPr>
            <w:tcW w:type="dxa" w:w="1800"/>
            <w:tcMar>
              <w:top w:type="dxa" w:w="70"/>
              <w:left w:type="dxa" w:w="100"/>
              <w:bottom w:type="dxa" w:w="70"/>
              <w:right w:type="dxa" w:w="100"/>
            </w:tcMar>
          </w:tcPr>
          <w:p>
            <w:pPr>
              <w:spacing w:after="0" w:line="250"/>
            </w:pPr>
            <w:r>
              <w:rPr>
                <w:color w:val="1A1A1A"/>
                <w:sz w:val="19"/>
                <w:szCs w:val="19"/>
              </w:rPr>
              <w:t xml:space="preserve">wk 0–6</w:t>
            </w:r>
          </w:p>
        </w:tc>
      </w:tr>
      <w:tr>
        <w:tc>
          <w:tcPr>
            <w:tcW w:type="dxa" w:w="5426"/>
            <w:tcMar>
              <w:top w:type="dxa" w:w="70"/>
              <w:left w:type="dxa" w:w="100"/>
              <w:bottom w:type="dxa" w:w="70"/>
              <w:right w:type="dxa" w:w="100"/>
            </w:tcMar>
          </w:tcPr>
          <w:p>
            <w:pPr>
              <w:spacing w:after="0" w:line="250"/>
            </w:pPr>
            <w:r>
              <w:rPr>
                <w:color w:val="1A1A1A"/>
                <w:sz w:val="19"/>
                <w:szCs w:val="19"/>
              </w:rPr>
              <w:t xml:space="preserve">Wave 1: IAM</w:t>
            </w:r>
          </w:p>
        </w:tc>
        <w:tc>
          <w:tcPr>
            <w:tcW w:type="dxa" w:w="1800"/>
            <w:tcMar>
              <w:top w:type="dxa" w:w="70"/>
              <w:left w:type="dxa" w:w="100"/>
              <w:bottom w:type="dxa" w:w="70"/>
              <w:right w:type="dxa" w:w="100"/>
            </w:tcMar>
          </w:tcPr>
          <w:p>
            <w:pPr>
              <w:spacing w:after="0" w:line="250"/>
            </w:pPr>
            <w:r>
              <w:rPr>
                <w:color w:val="1A1A1A"/>
                <w:sz w:val="19"/>
                <w:szCs w:val="19"/>
              </w:rPr>
              <w:t xml:space="preserve">44</w:t>
            </w:r>
          </w:p>
        </w:tc>
        <w:tc>
          <w:tcPr>
            <w:tcW w:type="dxa" w:w="1800"/>
            <w:tcMar>
              <w:top w:type="dxa" w:w="70"/>
              <w:left w:type="dxa" w:w="100"/>
              <w:bottom w:type="dxa" w:w="70"/>
              <w:right w:type="dxa" w:w="100"/>
            </w:tcMar>
          </w:tcPr>
          <w:p>
            <w:pPr>
              <w:spacing w:after="0" w:line="250"/>
            </w:pPr>
            <w:r>
              <w:rPr>
                <w:color w:val="1A1A1A"/>
                <w:sz w:val="19"/>
                <w:szCs w:val="19"/>
              </w:rPr>
              <w:t xml:space="preserve">wk 6–50</w:t>
            </w:r>
          </w:p>
        </w:tc>
      </w:tr>
      <w:tr>
        <w:tc>
          <w:tcPr>
            <w:tcW w:type="dxa" w:w="5426"/>
            <w:tcMar>
              <w:top w:type="dxa" w:w="70"/>
              <w:left w:type="dxa" w:w="100"/>
              <w:bottom w:type="dxa" w:w="70"/>
              <w:right w:type="dxa" w:w="100"/>
            </w:tcMar>
          </w:tcPr>
          <w:p>
            <w:pPr>
              <w:spacing w:after="0" w:line="250"/>
            </w:pPr>
            <w:r>
              <w:rPr>
                <w:color w:val="1A1A1A"/>
                <w:sz w:val="19"/>
                <w:szCs w:val="19"/>
              </w:rPr>
              <w:t xml:space="preserve">Wave 2: NET</w:t>
            </w:r>
          </w:p>
        </w:tc>
        <w:tc>
          <w:tcPr>
            <w:tcW w:type="dxa" w:w="1800"/>
            <w:tcMar>
              <w:top w:type="dxa" w:w="70"/>
              <w:left w:type="dxa" w:w="100"/>
              <w:bottom w:type="dxa" w:w="70"/>
              <w:right w:type="dxa" w:w="100"/>
            </w:tcMar>
          </w:tcPr>
          <w:p>
            <w:pPr>
              <w:spacing w:after="0" w:line="250"/>
            </w:pPr>
            <w:r>
              <w:rPr>
                <w:color w:val="1A1A1A"/>
                <w:sz w:val="19"/>
                <w:szCs w:val="19"/>
              </w:rPr>
              <w:t xml:space="preserve">36</w:t>
            </w:r>
          </w:p>
        </w:tc>
        <w:tc>
          <w:tcPr>
            <w:tcW w:type="dxa" w:w="1800"/>
            <w:tcMar>
              <w:top w:type="dxa" w:w="70"/>
              <w:left w:type="dxa" w:w="100"/>
              <w:bottom w:type="dxa" w:w="70"/>
              <w:right w:type="dxa" w:w="100"/>
            </w:tcMar>
          </w:tcPr>
          <w:p>
            <w:pPr>
              <w:spacing w:after="0" w:line="250"/>
            </w:pPr>
            <w:r>
              <w:rPr>
                <w:color w:val="1A1A1A"/>
                <w:sz w:val="19"/>
                <w:szCs w:val="19"/>
              </w:rPr>
              <w:t xml:space="preserve">wk 28–64</w:t>
            </w:r>
          </w:p>
        </w:tc>
      </w:tr>
      <w:tr>
        <w:tc>
          <w:tcPr>
            <w:tcW w:type="dxa" w:w="5426"/>
            <w:tcMar>
              <w:top w:type="dxa" w:w="70"/>
              <w:left w:type="dxa" w:w="100"/>
              <w:bottom w:type="dxa" w:w="70"/>
              <w:right w:type="dxa" w:w="100"/>
            </w:tcMar>
          </w:tcPr>
          <w:p>
            <w:pPr>
              <w:spacing w:after="0" w:line="250"/>
            </w:pPr>
            <w:r>
              <w:rPr>
                <w:color w:val="1A1A1A"/>
                <w:sz w:val="19"/>
                <w:szCs w:val="19"/>
              </w:rPr>
              <w:t xml:space="preserve">Wave 3: DATA</w:t>
            </w:r>
          </w:p>
        </w:tc>
        <w:tc>
          <w:tcPr>
            <w:tcW w:type="dxa" w:w="1800"/>
            <w:tcMar>
              <w:top w:type="dxa" w:w="70"/>
              <w:left w:type="dxa" w:w="100"/>
              <w:bottom w:type="dxa" w:w="70"/>
              <w:right w:type="dxa" w:w="100"/>
            </w:tcMar>
          </w:tcPr>
          <w:p>
            <w:pPr>
              <w:spacing w:after="0" w:line="250"/>
            </w:pPr>
            <w:r>
              <w:rPr>
                <w:color w:val="1A1A1A"/>
                <w:sz w:val="19"/>
                <w:szCs w:val="19"/>
              </w:rPr>
              <w:t xml:space="preserve">16</w:t>
            </w:r>
          </w:p>
        </w:tc>
        <w:tc>
          <w:tcPr>
            <w:tcW w:type="dxa" w:w="1800"/>
            <w:tcMar>
              <w:top w:type="dxa" w:w="70"/>
              <w:left w:type="dxa" w:w="100"/>
              <w:bottom w:type="dxa" w:w="70"/>
              <w:right w:type="dxa" w:w="100"/>
            </w:tcMar>
          </w:tcPr>
          <w:p>
            <w:pPr>
              <w:spacing w:after="0" w:line="250"/>
            </w:pPr>
            <w:r>
              <w:rPr>
                <w:color w:val="1A1A1A"/>
                <w:sz w:val="19"/>
                <w:szCs w:val="19"/>
              </w:rPr>
              <w:t xml:space="preserve">wk 46–62</w:t>
            </w:r>
          </w:p>
        </w:tc>
      </w:tr>
      <w:tr>
        <w:tc>
          <w:tcPr>
            <w:tcW w:type="dxa" w:w="5426"/>
            <w:tcMar>
              <w:top w:type="dxa" w:w="70"/>
              <w:left w:type="dxa" w:w="100"/>
              <w:bottom w:type="dxa" w:w="70"/>
              <w:right w:type="dxa" w:w="100"/>
            </w:tcMar>
          </w:tcPr>
          <w:p>
            <w:pPr>
              <w:spacing w:after="0" w:line="250"/>
            </w:pPr>
            <w:r>
              <w:rPr>
                <w:color w:val="1A1A1A"/>
                <w:sz w:val="19"/>
                <w:szCs w:val="19"/>
              </w:rPr>
              <w:t xml:space="preserve">Wave 4: INT</w:t>
            </w:r>
          </w:p>
        </w:tc>
        <w:tc>
          <w:tcPr>
            <w:tcW w:type="dxa" w:w="1800"/>
            <w:tcMar>
              <w:top w:type="dxa" w:w="70"/>
              <w:left w:type="dxa" w:w="100"/>
              <w:bottom w:type="dxa" w:w="70"/>
              <w:right w:type="dxa" w:w="100"/>
            </w:tcMar>
          </w:tcPr>
          <w:p>
            <w:pPr>
              <w:spacing w:after="0" w:line="250"/>
            </w:pPr>
            <w:r>
              <w:rPr>
                <w:color w:val="1A1A1A"/>
                <w:sz w:val="19"/>
                <w:szCs w:val="19"/>
              </w:rPr>
              <w:t xml:space="preserve">18</w:t>
            </w:r>
          </w:p>
        </w:tc>
        <w:tc>
          <w:tcPr>
            <w:tcW w:type="dxa" w:w="1800"/>
            <w:tcMar>
              <w:top w:type="dxa" w:w="70"/>
              <w:left w:type="dxa" w:w="100"/>
              <w:bottom w:type="dxa" w:w="70"/>
              <w:right w:type="dxa" w:w="100"/>
            </w:tcMar>
          </w:tcPr>
          <w:p>
            <w:pPr>
              <w:spacing w:after="0" w:line="250"/>
            </w:pPr>
            <w:r>
              <w:rPr>
                <w:color w:val="1A1A1A"/>
                <w:sz w:val="19"/>
                <w:szCs w:val="19"/>
              </w:rPr>
              <w:t xml:space="preserve">wk 54–72</w:t>
            </w:r>
          </w:p>
        </w:tc>
      </w:tr>
      <w:tr>
        <w:tc>
          <w:tcPr>
            <w:tcW w:type="dxa" w:w="5426"/>
            <w:tcMar>
              <w:top w:type="dxa" w:w="70"/>
              <w:left w:type="dxa" w:w="100"/>
              <w:bottom w:type="dxa" w:w="70"/>
              <w:right w:type="dxa" w:w="100"/>
            </w:tcMar>
          </w:tcPr>
          <w:p>
            <w:pPr>
              <w:spacing w:after="0" w:line="250"/>
            </w:pPr>
            <w:r>
              <w:rPr>
                <w:color w:val="1A1A1A"/>
                <w:sz w:val="19"/>
                <w:szCs w:val="19"/>
              </w:rPr>
              <w:t xml:space="preserve">Wave 5: SEC</w:t>
            </w:r>
          </w:p>
        </w:tc>
        <w:tc>
          <w:tcPr>
            <w:tcW w:type="dxa" w:w="1800"/>
            <w:tcMar>
              <w:top w:type="dxa" w:w="70"/>
              <w:left w:type="dxa" w:w="100"/>
              <w:bottom w:type="dxa" w:w="70"/>
              <w:right w:type="dxa" w:w="100"/>
            </w:tcMar>
          </w:tcPr>
          <w:p>
            <w:pPr>
              <w:spacing w:after="0" w:line="250"/>
            </w:pPr>
            <w:r>
              <w:rPr>
                <w:color w:val="1A1A1A"/>
                <w:sz w:val="19"/>
                <w:szCs w:val="19"/>
              </w:rPr>
              <w:t xml:space="preserve">20</w:t>
            </w:r>
          </w:p>
        </w:tc>
        <w:tc>
          <w:tcPr>
            <w:tcW w:type="dxa" w:w="1800"/>
            <w:tcMar>
              <w:top w:type="dxa" w:w="70"/>
              <w:left w:type="dxa" w:w="100"/>
              <w:bottom w:type="dxa" w:w="70"/>
              <w:right w:type="dxa" w:w="100"/>
            </w:tcMar>
          </w:tcPr>
          <w:p>
            <w:pPr>
              <w:spacing w:after="0" w:line="250"/>
            </w:pPr>
            <w:r>
              <w:rPr>
                <w:color w:val="1A1A1A"/>
                <w:sz w:val="19"/>
                <w:szCs w:val="19"/>
              </w:rPr>
              <w:t xml:space="preserve">wk 63–83</w:t>
            </w:r>
          </w:p>
        </w:tc>
      </w:tr>
      <w:tr>
        <w:tc>
          <w:tcPr>
            <w:tcW w:type="dxa" w:w="5426"/>
            <w:tcMar>
              <w:top w:type="dxa" w:w="70"/>
              <w:left w:type="dxa" w:w="100"/>
              <w:bottom w:type="dxa" w:w="70"/>
              <w:right w:type="dxa" w:w="100"/>
            </w:tcMar>
          </w:tcPr>
          <w:p>
            <w:pPr>
              <w:spacing w:after="0" w:line="250"/>
            </w:pPr>
            <w:r>
              <w:rPr>
                <w:color w:val="1A1A1A"/>
                <w:sz w:val="19"/>
                <w:szCs w:val="19"/>
              </w:rPr>
              <w:t xml:space="preserve">Wave 6: PLAT</w:t>
            </w:r>
          </w:p>
        </w:tc>
        <w:tc>
          <w:tcPr>
            <w:tcW w:type="dxa" w:w="1800"/>
            <w:tcMar>
              <w:top w:type="dxa" w:w="70"/>
              <w:left w:type="dxa" w:w="100"/>
              <w:bottom w:type="dxa" w:w="70"/>
              <w:right w:type="dxa" w:w="100"/>
            </w:tcMar>
          </w:tcPr>
          <w:p>
            <w:pPr>
              <w:spacing w:after="0" w:line="250"/>
            </w:pPr>
            <w:r>
              <w:rPr>
                <w:color w:val="1A1A1A"/>
                <w:sz w:val="19"/>
                <w:szCs w:val="19"/>
              </w:rPr>
              <w:t xml:space="preserve">18</w:t>
            </w:r>
          </w:p>
        </w:tc>
        <w:tc>
          <w:tcPr>
            <w:tcW w:type="dxa" w:w="1800"/>
            <w:tcMar>
              <w:top w:type="dxa" w:w="70"/>
              <w:left w:type="dxa" w:w="100"/>
              <w:bottom w:type="dxa" w:w="70"/>
              <w:right w:type="dxa" w:w="100"/>
            </w:tcMar>
          </w:tcPr>
          <w:p>
            <w:pPr>
              <w:spacing w:after="0" w:line="250"/>
            </w:pPr>
            <w:r>
              <w:rPr>
                <w:color w:val="1A1A1A"/>
                <w:sz w:val="19"/>
                <w:szCs w:val="19"/>
              </w:rPr>
              <w:t xml:space="preserve">wk 73–91</w:t>
            </w:r>
          </w:p>
        </w:tc>
      </w:tr>
      <w:tr>
        <w:tc>
          <w:tcPr>
            <w:tcW w:type="dxa" w:w="5426"/>
            <w:tcMar>
              <w:top w:type="dxa" w:w="70"/>
              <w:left w:type="dxa" w:w="100"/>
              <w:bottom w:type="dxa" w:w="70"/>
              <w:right w:type="dxa" w:w="100"/>
            </w:tcMar>
          </w:tcPr>
          <w:p>
            <w:pPr>
              <w:spacing w:after="0" w:line="250"/>
            </w:pPr>
            <w:r>
              <w:rPr>
                <w:color w:val="1A1A1A"/>
                <w:sz w:val="19"/>
                <w:szCs w:val="19"/>
              </w:rPr>
              <w:t xml:space="preserve">Wave 7: RES, GRC, ENV</w:t>
            </w:r>
          </w:p>
        </w:tc>
        <w:tc>
          <w:tcPr>
            <w:tcW w:type="dxa" w:w="1800"/>
            <w:tcMar>
              <w:top w:type="dxa" w:w="70"/>
              <w:left w:type="dxa" w:w="100"/>
              <w:bottom w:type="dxa" w:w="70"/>
              <w:right w:type="dxa" w:w="100"/>
            </w:tcMar>
          </w:tcPr>
          <w:p>
            <w:pPr>
              <w:spacing w:after="0" w:line="250"/>
            </w:pPr>
            <w:r>
              <w:rPr>
                <w:color w:val="1A1A1A"/>
                <w:sz w:val="19"/>
                <w:szCs w:val="19"/>
              </w:rPr>
              <w:t xml:space="preserve">22</w:t>
            </w:r>
          </w:p>
        </w:tc>
        <w:tc>
          <w:tcPr>
            <w:tcW w:type="dxa" w:w="1800"/>
            <w:tcMar>
              <w:top w:type="dxa" w:w="70"/>
              <w:left w:type="dxa" w:w="100"/>
              <w:bottom w:type="dxa" w:w="70"/>
              <w:right w:type="dxa" w:w="100"/>
            </w:tcMar>
          </w:tcPr>
          <w:p>
            <w:pPr>
              <w:spacing w:after="0" w:line="250"/>
            </w:pPr>
            <w:r>
              <w:rPr>
                <w:color w:val="1A1A1A"/>
                <w:sz w:val="19"/>
                <w:szCs w:val="19"/>
              </w:rPr>
              <w:t xml:space="preserve">wk 82–104</w:t>
            </w:r>
          </w:p>
        </w:tc>
      </w:tr>
      <w:tr>
        <w:tc>
          <w:tcPr>
            <w:tcW w:type="dxa" w:w="5426"/>
            <w:tcMar>
              <w:top w:type="dxa" w:w="70"/>
              <w:left w:type="dxa" w:w="100"/>
              <w:bottom w:type="dxa" w:w="70"/>
              <w:right w:type="dxa" w:w="100"/>
            </w:tcMar>
          </w:tcPr>
          <w:p>
            <w:pPr>
              <w:spacing w:after="0" w:line="250"/>
            </w:pPr>
            <w:r>
              <w:rPr>
                <w:color w:val="1A1A1A"/>
                <w:sz w:val="19"/>
                <w:szCs w:val="19"/>
              </w:rPr>
              <w:t xml:space="preserve">Assurance, rehearsal and evidence</w:t>
            </w:r>
          </w:p>
        </w:tc>
        <w:tc>
          <w:tcPr>
            <w:tcW w:type="dxa" w:w="1800"/>
            <w:tcMar>
              <w:top w:type="dxa" w:w="70"/>
              <w:left w:type="dxa" w:w="100"/>
              <w:bottom w:type="dxa" w:w="70"/>
              <w:right w:type="dxa" w:w="100"/>
            </w:tcMar>
          </w:tcPr>
          <w:p>
            <w:pPr>
              <w:spacing w:after="0" w:line="250"/>
            </w:pPr>
            <w:r>
              <w:rPr>
                <w:color w:val="1A1A1A"/>
                <w:sz w:val="19"/>
                <w:szCs w:val="19"/>
              </w:rPr>
              <w:t xml:space="preserve">7</w:t>
            </w:r>
          </w:p>
        </w:tc>
        <w:tc>
          <w:tcPr>
            <w:tcW w:type="dxa" w:w="1800"/>
            <w:tcMar>
              <w:top w:type="dxa" w:w="70"/>
              <w:left w:type="dxa" w:w="100"/>
              <w:bottom w:type="dxa" w:w="70"/>
              <w:right w:type="dxa" w:w="100"/>
            </w:tcMar>
          </w:tcPr>
          <w:p>
            <w:pPr>
              <w:spacing w:after="0" w:line="250"/>
            </w:pPr>
            <w:r>
              <w:rPr>
                <w:color w:val="1A1A1A"/>
                <w:sz w:val="19"/>
                <w:szCs w:val="19"/>
              </w:rPr>
              <w:t xml:space="preserve">wk 104–111</w:t>
            </w:r>
          </w:p>
        </w:tc>
      </w:tr>
    </w:tbl>
    <w:p>
      <w:pPr>
        <w:pBdr>
          <w:left w:val="single" w:color="C8912B" w:sz="18"/>
        </w:pBdr>
        <w:shd w:fill="FBF7EC" w:val="clear"/>
        <w:spacing w:after="160" w:before="100" w:line="276"/>
        <w:ind w:left="170" w:right="170"/>
      </w:pPr>
      <w:r>
        <w:rPr>
          <w:color w:val="4A3A16"/>
          <w:sz w:val="20"/>
          <w:szCs w:val="20"/>
        </w:rPr>
        <w:t xml:space="preserve">Against a brief that commits to demonstrating the pattern by the end of the next financial year, a 15.5–35.8 month range is the finding. The identity and network work is what makes it long — and that is a scoping conversation to have now, not a date to defend later.</w:t>
      </w:r>
    </w:p>
    <w:p>
      <w:pPr>
        <w:pStyle w:val="Heading2"/>
        <w:spacing w:after="120" w:before="280"/>
      </w:pPr>
      <w:r>
        <w:rPr>
          <w:b/>
          <w:bCs/>
          <w:color w:val="1F4E79"/>
          <w:sz w:val="24"/>
          <w:szCs w:val="24"/>
        </w:rPr>
        <w:t xml:space="preserve">6.7 The questions it will not answer for you</w:t>
      </w:r>
    </w:p>
    <w:p>
      <w:pPr>
        <w:spacing w:after="140" w:line="276"/>
      </w:pPr>
      <w:r>
        <w:rPr>
          <w:color w:val="1A1A1A"/>
          <w:sz w:val="21"/>
          <w:szCs w:val="21"/>
        </w:rPr>
        <w:t xml:space="preserve">Thirty-two blocking questions, each with a named owner. A representative selection:</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1900"/>
        <w:gridCol w:w="7126"/>
      </w:tblGrid>
      <w:tr>
        <w:trPr>
          <w:tblHeader/>
        </w:trPr>
        <w:tc>
          <w:tcPr>
            <w:tcW w:type="dxa" w:w="1900"/>
            <w:shd w:fill="EDF1F6" w:val="clear"/>
            <w:tcMar>
              <w:top w:type="dxa" w:w="70"/>
              <w:left w:type="dxa" w:w="100"/>
              <w:bottom w:type="dxa" w:w="70"/>
              <w:right w:type="dxa" w:w="100"/>
            </w:tcMar>
          </w:tcPr>
          <w:p>
            <w:pPr>
              <w:spacing w:after="0" w:line="250"/>
            </w:pPr>
            <w:r>
              <w:rPr>
                <w:b/>
                <w:bCs/>
                <w:color w:val="22303F"/>
                <w:sz w:val="18"/>
                <w:szCs w:val="18"/>
              </w:rPr>
              <w:t xml:space="preserve">Owner</w:t>
            </w:r>
          </w:p>
        </w:tc>
        <w:tc>
          <w:tcPr>
            <w:tcW w:type="dxa" w:w="7126"/>
            <w:shd w:fill="EDF1F6" w:val="clear"/>
            <w:tcMar>
              <w:top w:type="dxa" w:w="70"/>
              <w:left w:type="dxa" w:w="100"/>
              <w:bottom w:type="dxa" w:w="70"/>
              <w:right w:type="dxa" w:w="100"/>
            </w:tcMar>
          </w:tcPr>
          <w:p>
            <w:pPr>
              <w:spacing w:after="0" w:line="250"/>
            </w:pPr>
            <w:r>
              <w:rPr>
                <w:b/>
                <w:bCs/>
                <w:color w:val="22303F"/>
                <w:sz w:val="18"/>
                <w:szCs w:val="18"/>
              </w:rPr>
              <w:t xml:space="preserve">Question</w:t>
            </w:r>
          </w:p>
        </w:tc>
      </w:tr>
      <w:tr>
        <w:tc>
          <w:tcPr>
            <w:tcW w:type="dxa" w:w="1900"/>
            <w:tcMar>
              <w:top w:type="dxa" w:w="70"/>
              <w:left w:type="dxa" w:w="100"/>
              <w:bottom w:type="dxa" w:w="70"/>
              <w:right w:type="dxa" w:w="100"/>
            </w:tcMar>
          </w:tcPr>
          <w:p>
            <w:pPr>
              <w:spacing w:after="0" w:line="250"/>
            </w:pPr>
            <w:r>
              <w:rPr>
                <w:color w:val="1A1A1A"/>
                <w:sz w:val="19"/>
                <w:szCs w:val="19"/>
              </w:rPr>
              <w:t xml:space="preserve">Security Architect</w:t>
            </w:r>
          </w:p>
        </w:tc>
        <w:tc>
          <w:tcPr>
            <w:tcW w:type="dxa" w:w="7126"/>
            <w:tcMar>
              <w:top w:type="dxa" w:w="70"/>
              <w:left w:type="dxa" w:w="100"/>
              <w:bottom w:type="dxa" w:w="70"/>
              <w:right w:type="dxa" w:w="100"/>
            </w:tcMar>
          </w:tcPr>
          <w:p>
            <w:pPr>
              <w:spacing w:after="0" w:line="250"/>
            </w:pPr>
            <w:r>
              <w:rPr>
                <w:color w:val="1A1A1A"/>
                <w:sz w:val="19"/>
                <w:szCs w:val="19"/>
              </w:rPr>
              <w:t xml:space="preserve">What is the blast radius if the fabric's trust anchor is compromised, and how is that anchor protected differently from everything else?</w:t>
            </w:r>
          </w:p>
        </w:tc>
      </w:tr>
      <w:tr>
        <w:tc>
          <w:tcPr>
            <w:tcW w:type="dxa" w:w="1900"/>
            <w:tcMar>
              <w:top w:type="dxa" w:w="70"/>
              <w:left w:type="dxa" w:w="100"/>
              <w:bottom w:type="dxa" w:w="70"/>
              <w:right w:type="dxa" w:w="100"/>
            </w:tcMar>
          </w:tcPr>
          <w:p>
            <w:pPr>
              <w:spacing w:after="0" w:line="250"/>
            </w:pPr>
            <w:r>
              <w:rPr>
                <w:color w:val="1A1A1A"/>
                <w:sz w:val="19"/>
                <w:szCs w:val="19"/>
              </w:rPr>
              <w:t xml:space="preserve">Security Architect</w:t>
            </w:r>
          </w:p>
        </w:tc>
        <w:tc>
          <w:tcPr>
            <w:tcW w:type="dxa" w:w="7126"/>
            <w:tcMar>
              <w:top w:type="dxa" w:w="70"/>
              <w:left w:type="dxa" w:w="100"/>
              <w:bottom w:type="dxa" w:w="70"/>
              <w:right w:type="dxa" w:w="100"/>
            </w:tcMar>
          </w:tcPr>
          <w:p>
            <w:pPr>
              <w:spacing w:after="0" w:line="250"/>
            </w:pPr>
            <w:r>
              <w:rPr>
                <w:color w:val="1A1A1A"/>
                <w:sz w:val="19"/>
                <w:szCs w:val="19"/>
              </w:rPr>
              <w:t xml:space="preserve">Which components cannot present a workload identity, and what boundary contains them instead?</w:t>
            </w:r>
          </w:p>
        </w:tc>
      </w:tr>
      <w:tr>
        <w:tc>
          <w:tcPr>
            <w:tcW w:type="dxa" w:w="1900"/>
            <w:tcMar>
              <w:top w:type="dxa" w:w="70"/>
              <w:left w:type="dxa" w:w="100"/>
              <w:bottom w:type="dxa" w:w="70"/>
              <w:right w:type="dxa" w:w="100"/>
            </w:tcMar>
          </w:tcPr>
          <w:p>
            <w:pPr>
              <w:spacing w:after="0" w:line="250"/>
            </w:pPr>
            <w:r>
              <w:rPr>
                <w:color w:val="1A1A1A"/>
                <w:sz w:val="19"/>
                <w:szCs w:val="19"/>
              </w:rPr>
              <w:t xml:space="preserve">Platform Architect</w:t>
            </w:r>
          </w:p>
        </w:tc>
        <w:tc>
          <w:tcPr>
            <w:tcW w:type="dxa" w:w="7126"/>
            <w:tcMar>
              <w:top w:type="dxa" w:w="70"/>
              <w:left w:type="dxa" w:w="100"/>
              <w:bottom w:type="dxa" w:w="70"/>
              <w:right w:type="dxa" w:w="100"/>
            </w:tcMar>
          </w:tcPr>
          <w:p>
            <w:pPr>
              <w:spacing w:after="0" w:line="250"/>
            </w:pPr>
            <w:r>
              <w:rPr>
                <w:color w:val="1A1A1A"/>
                <w:sz w:val="19"/>
                <w:szCs w:val="19"/>
              </w:rPr>
              <w:t xml:space="preserve">Is admission control enforcing in non-prod, or is non-prod the place unsigned artefacts get in?</w:t>
            </w:r>
          </w:p>
        </w:tc>
      </w:tr>
      <w:tr>
        <w:tc>
          <w:tcPr>
            <w:tcW w:type="dxa" w:w="1900"/>
            <w:tcMar>
              <w:top w:type="dxa" w:w="70"/>
              <w:left w:type="dxa" w:w="100"/>
              <w:bottom w:type="dxa" w:w="70"/>
              <w:right w:type="dxa" w:w="100"/>
            </w:tcMar>
          </w:tcPr>
          <w:p>
            <w:pPr>
              <w:spacing w:after="0" w:line="250"/>
            </w:pPr>
            <w:r>
              <w:rPr>
                <w:color w:val="1A1A1A"/>
                <w:sz w:val="19"/>
                <w:szCs w:val="19"/>
              </w:rPr>
              <w:t xml:space="preserve">Platform Architect</w:t>
            </w:r>
          </w:p>
        </w:tc>
        <w:tc>
          <w:tcPr>
            <w:tcW w:type="dxa" w:w="7126"/>
            <w:tcMar>
              <w:top w:type="dxa" w:w="70"/>
              <w:left w:type="dxa" w:w="100"/>
              <w:bottom w:type="dxa" w:w="70"/>
              <w:right w:type="dxa" w:w="100"/>
            </w:tcMar>
          </w:tcPr>
          <w:p>
            <w:pPr>
              <w:spacing w:after="0" w:line="250"/>
            </w:pPr>
            <w:r>
              <w:rPr>
                <w:color w:val="1A1A1A"/>
                <w:sz w:val="19"/>
                <w:szCs w:val="19"/>
              </w:rPr>
              <w:t xml:space="preserve">What happens to existing connections when the policy engine is unavailable — fail closed, or last-known-good?</w:t>
            </w:r>
          </w:p>
        </w:tc>
      </w:tr>
      <w:tr>
        <w:tc>
          <w:tcPr>
            <w:tcW w:type="dxa" w:w="1900"/>
            <w:tcMar>
              <w:top w:type="dxa" w:w="70"/>
              <w:left w:type="dxa" w:w="100"/>
              <w:bottom w:type="dxa" w:w="70"/>
              <w:right w:type="dxa" w:w="100"/>
            </w:tcMar>
          </w:tcPr>
          <w:p>
            <w:pPr>
              <w:spacing w:after="0" w:line="250"/>
            </w:pPr>
            <w:r>
              <w:rPr>
                <w:color w:val="1A1A1A"/>
                <w:sz w:val="19"/>
                <w:szCs w:val="19"/>
              </w:rPr>
              <w:t xml:space="preserve">Network Architect</w:t>
            </w:r>
          </w:p>
        </w:tc>
        <w:tc>
          <w:tcPr>
            <w:tcW w:type="dxa" w:w="7126"/>
            <w:tcMar>
              <w:top w:type="dxa" w:w="70"/>
              <w:left w:type="dxa" w:w="100"/>
              <w:bottom w:type="dxa" w:w="70"/>
              <w:right w:type="dxa" w:w="100"/>
            </w:tcMar>
          </w:tcPr>
          <w:p>
            <w:pPr>
              <w:spacing w:after="0" w:line="250"/>
            </w:pPr>
            <w:r>
              <w:rPr>
                <w:color w:val="1A1A1A"/>
                <w:sz w:val="19"/>
                <w:szCs w:val="19"/>
              </w:rPr>
              <w:t xml:space="preserve">Is the complete east-west service-pair inventory known, and how was it derived — from design, or from observed traffic?</w:t>
            </w:r>
          </w:p>
        </w:tc>
      </w:tr>
      <w:tr>
        <w:tc>
          <w:tcPr>
            <w:tcW w:type="dxa" w:w="1900"/>
            <w:tcMar>
              <w:top w:type="dxa" w:w="70"/>
              <w:left w:type="dxa" w:w="100"/>
              <w:bottom w:type="dxa" w:w="70"/>
              <w:right w:type="dxa" w:w="100"/>
            </w:tcMar>
          </w:tcPr>
          <w:p>
            <w:pPr>
              <w:spacing w:after="0" w:line="250"/>
            </w:pPr>
            <w:r>
              <w:rPr>
                <w:color w:val="1A1A1A"/>
                <w:sz w:val="19"/>
                <w:szCs w:val="19"/>
              </w:rPr>
              <w:t xml:space="preserve">Model Risk</w:t>
            </w:r>
          </w:p>
        </w:tc>
        <w:tc>
          <w:tcPr>
            <w:tcW w:type="dxa" w:w="7126"/>
            <w:tcMar>
              <w:top w:type="dxa" w:w="70"/>
              <w:left w:type="dxa" w:w="100"/>
              <w:bottom w:type="dxa" w:w="70"/>
              <w:right w:type="dxa" w:w="100"/>
            </w:tcMar>
          </w:tcPr>
          <w:p>
            <w:pPr>
              <w:spacing w:after="0" w:line="250"/>
            </w:pPr>
            <w:r>
              <w:rPr>
                <w:color w:val="1A1A1A"/>
                <w:sz w:val="19"/>
                <w:szCs w:val="19"/>
              </w:rPr>
              <w:t xml:space="preserve">Which decisions does this model influence, and at what materiality?</w:t>
            </w:r>
          </w:p>
        </w:tc>
      </w:tr>
      <w:tr>
        <w:tc>
          <w:tcPr>
            <w:tcW w:type="dxa" w:w="1900"/>
            <w:tcMar>
              <w:top w:type="dxa" w:w="70"/>
              <w:left w:type="dxa" w:w="100"/>
              <w:bottom w:type="dxa" w:w="70"/>
              <w:right w:type="dxa" w:w="100"/>
            </w:tcMar>
          </w:tcPr>
          <w:p>
            <w:pPr>
              <w:spacing w:after="0" w:line="250"/>
            </w:pPr>
            <w:r>
              <w:rPr>
                <w:color w:val="1A1A1A"/>
                <w:sz w:val="19"/>
                <w:szCs w:val="19"/>
              </w:rPr>
              <w:t xml:space="preserve">Third-Party Risk</w:t>
            </w:r>
          </w:p>
        </w:tc>
        <w:tc>
          <w:tcPr>
            <w:tcW w:type="dxa" w:w="7126"/>
            <w:tcMar>
              <w:top w:type="dxa" w:w="70"/>
              <w:left w:type="dxa" w:w="100"/>
              <w:bottom w:type="dxa" w:w="70"/>
              <w:right w:type="dxa" w:w="100"/>
            </w:tcMar>
          </w:tcPr>
          <w:p>
            <w:pPr>
              <w:spacing w:after="0" w:line="250"/>
            </w:pPr>
            <w:r>
              <w:rPr>
                <w:color w:val="1A1A1A"/>
                <w:sz w:val="19"/>
                <w:szCs w:val="19"/>
              </w:rPr>
              <w:t xml:space="preserve">Do several material parties depend on the same fourth party, creating concentration the individual assessments do not show?</w:t>
            </w:r>
          </w:p>
        </w:tc>
      </w:tr>
    </w:tbl>
    <w:p>
      <w:pPr>
        <w:pStyle w:val="Heading2"/>
        <w:spacing w:after="120" w:before="280"/>
      </w:pPr>
      <w:r>
        <w:rPr>
          <w:b/>
          <w:bCs/>
          <w:color w:val="1F4E79"/>
          <w:sz w:val="24"/>
          <w:szCs w:val="24"/>
        </w:rPr>
        <w:t xml:space="preserve">6.8 What the engine did not assess</w:t>
      </w:r>
    </w:p>
    <w:p>
      <w:pPr>
        <w:spacing w:after="140" w:line="276"/>
      </w:pPr>
      <w:r>
        <w:rPr>
          <w:color w:val="1A1A1A"/>
          <w:sz w:val="21"/>
          <w:szCs w:val="21"/>
        </w:rPr>
        <w:t xml:space="preserve">The run covers nine validator domains. For an agentic SDLC, two of the four uncovered domains matter directly and would be the next call:</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2000"/>
        <w:gridCol w:w="5026"/>
        <w:gridCol w:w="2000"/>
      </w:tblGrid>
      <w:tr>
        <w:trPr>
          <w:tblHeader/>
        </w:trPr>
        <w:tc>
          <w:tcPr>
            <w:tcW w:type="dxa" w:w="2000"/>
            <w:shd w:fill="EDF1F6" w:val="clear"/>
            <w:tcMar>
              <w:top w:type="dxa" w:w="70"/>
              <w:left w:type="dxa" w:w="100"/>
              <w:bottom w:type="dxa" w:w="70"/>
              <w:right w:type="dxa" w:w="100"/>
            </w:tcMar>
          </w:tcPr>
          <w:p>
            <w:pPr>
              <w:spacing w:after="0" w:line="250"/>
            </w:pPr>
            <w:r>
              <w:rPr>
                <w:b/>
                <w:bCs/>
                <w:color w:val="22303F"/>
                <w:sz w:val="18"/>
                <w:szCs w:val="18"/>
              </w:rPr>
              <w:t xml:space="preserve">Domain</w:t>
            </w:r>
          </w:p>
        </w:tc>
        <w:tc>
          <w:tcPr>
            <w:tcW w:type="dxa" w:w="5026"/>
            <w:shd w:fill="EDF1F6" w:val="clear"/>
            <w:tcMar>
              <w:top w:type="dxa" w:w="70"/>
              <w:left w:type="dxa" w:w="100"/>
              <w:bottom w:type="dxa" w:w="70"/>
              <w:right w:type="dxa" w:w="100"/>
            </w:tcMar>
          </w:tcPr>
          <w:p>
            <w:pPr>
              <w:spacing w:after="0" w:line="250"/>
            </w:pPr>
            <w:r>
              <w:rPr>
                <w:b/>
                <w:bCs/>
                <w:color w:val="22303F"/>
                <w:sz w:val="18"/>
                <w:szCs w:val="18"/>
              </w:rPr>
              <w:t xml:space="preserve">Why it matters here</w:t>
            </w:r>
          </w:p>
        </w:tc>
        <w:tc>
          <w:tcPr>
            <w:tcW w:type="dxa" w:w="2000"/>
            <w:shd w:fill="EDF1F6" w:val="clear"/>
            <w:tcMar>
              <w:top w:type="dxa" w:w="70"/>
              <w:left w:type="dxa" w:w="100"/>
              <w:bottom w:type="dxa" w:w="70"/>
              <w:right w:type="dxa" w:w="100"/>
            </w:tcMar>
          </w:tcPr>
          <w:p>
            <w:pPr>
              <w:spacing w:after="0" w:line="250"/>
            </w:pPr>
            <w:r>
              <w:rPr>
                <w:b/>
                <w:bCs/>
                <w:color w:val="22303F"/>
                <w:sz w:val="18"/>
                <w:szCs w:val="18"/>
              </w:rPr>
              <w:t xml:space="preserve">Engage</w:t>
            </w:r>
          </w:p>
        </w:tc>
      </w:tr>
      <w:tr>
        <w:tc>
          <w:tcPr>
            <w:tcW w:type="dxa" w:w="2000"/>
            <w:tcMar>
              <w:top w:type="dxa" w:w="70"/>
              <w:left w:type="dxa" w:w="100"/>
              <w:bottom w:type="dxa" w:w="70"/>
              <w:right w:type="dxa" w:w="100"/>
            </w:tcMar>
          </w:tcPr>
          <w:p>
            <w:pPr>
              <w:spacing w:after="0" w:line="250"/>
            </w:pPr>
            <w:r>
              <w:rPr>
                <w:color w:val="1A1A1A"/>
                <w:sz w:val="19"/>
                <w:szCs w:val="19"/>
              </w:rPr>
              <w:t xml:space="preserve">Emerging &amp; Specialised</w:t>
            </w:r>
          </w:p>
        </w:tc>
        <w:tc>
          <w:tcPr>
            <w:tcW w:type="dxa" w:w="5026"/>
            <w:tcMar>
              <w:top w:type="dxa" w:w="70"/>
              <w:left w:type="dxa" w:w="100"/>
              <w:bottom w:type="dxa" w:w="70"/>
              <w:right w:type="dxa" w:w="100"/>
            </w:tcMar>
          </w:tcPr>
          <w:p>
            <w:pPr>
              <w:spacing w:after="0" w:line="250"/>
            </w:pPr>
            <w:r>
              <w:rPr>
                <w:color w:val="1A1A1A"/>
                <w:sz w:val="19"/>
                <w:szCs w:val="19"/>
              </w:rPr>
              <w:t xml:space="preserve">Prompt injection, agent action bounding, model and embedding provenance. sme-ai-ml-security asks what untrusted content can reach the model's context and what the model can then cause to happen — the central question of an agentic pipeline.</w:t>
            </w:r>
          </w:p>
        </w:tc>
        <w:tc>
          <w:tcPr>
            <w:tcW w:type="dxa" w:w="2000"/>
            <w:tcMar>
              <w:top w:type="dxa" w:w="70"/>
              <w:left w:type="dxa" w:w="100"/>
              <w:bottom w:type="dxa" w:w="70"/>
              <w:right w:type="dxa" w:w="100"/>
            </w:tcMar>
          </w:tcPr>
          <w:p>
            <w:pPr>
              <w:spacing w:after="0" w:line="250"/>
            </w:pPr>
            <w:r>
              <w:rPr>
                <w:color w:val="1A1A1A"/>
                <w:sz w:val="19"/>
                <w:szCs w:val="19"/>
              </w:rPr>
              <w:t xml:space="preserve">architect-emrg</w:t>
            </w:r>
          </w:p>
        </w:tc>
      </w:tr>
      <w:tr>
        <w:tc>
          <w:tcPr>
            <w:tcW w:type="dxa" w:w="2000"/>
            <w:tcMar>
              <w:top w:type="dxa" w:w="70"/>
              <w:left w:type="dxa" w:w="100"/>
              <w:bottom w:type="dxa" w:w="70"/>
              <w:right w:type="dxa" w:w="100"/>
            </w:tcMar>
          </w:tcPr>
          <w:p>
            <w:pPr>
              <w:spacing w:after="0" w:line="250"/>
            </w:pPr>
            <w:r>
              <w:rPr>
                <w:color w:val="1A1A1A"/>
                <w:sz w:val="19"/>
                <w:szCs w:val="19"/>
              </w:rPr>
              <w:t xml:space="preserve">Offensive Security</w:t>
            </w:r>
          </w:p>
        </w:tc>
        <w:tc>
          <w:tcPr>
            <w:tcW w:type="dxa" w:w="5026"/>
            <w:tcMar>
              <w:top w:type="dxa" w:w="70"/>
              <w:left w:type="dxa" w:w="100"/>
              <w:bottom w:type="dxa" w:w="70"/>
              <w:right w:type="dxa" w:w="100"/>
            </w:tcMar>
          </w:tcPr>
          <w:p>
            <w:pPr>
              <w:spacing w:after="0" w:line="250"/>
            </w:pPr>
            <w:r>
              <w:rPr>
                <w:color w:val="1A1A1A"/>
                <w:sz w:val="19"/>
                <w:szCs w:val="19"/>
              </w:rPr>
              <w:t xml:space="preserve">Nothing in the run validates that the containment actually holds. sme-purple-teaming asks which techniques have never been executed against the detections claiming to cover them.</w:t>
            </w:r>
          </w:p>
        </w:tc>
        <w:tc>
          <w:tcPr>
            <w:tcW w:type="dxa" w:w="2000"/>
            <w:tcMar>
              <w:top w:type="dxa" w:w="70"/>
              <w:left w:type="dxa" w:w="100"/>
              <w:bottom w:type="dxa" w:w="70"/>
              <w:right w:type="dxa" w:w="100"/>
            </w:tcMar>
          </w:tcPr>
          <w:p>
            <w:pPr>
              <w:spacing w:after="0" w:line="250"/>
            </w:pPr>
            <w:r>
              <w:rPr>
                <w:color w:val="1A1A1A"/>
                <w:sz w:val="19"/>
                <w:szCs w:val="19"/>
              </w:rPr>
              <w:t xml:space="preserve">architect-offsec</w:t>
            </w:r>
          </w:p>
        </w:tc>
      </w:tr>
      <w:tr>
        <w:tc>
          <w:tcPr>
            <w:tcW w:type="dxa" w:w="2000"/>
            <w:tcMar>
              <w:top w:type="dxa" w:w="70"/>
              <w:left w:type="dxa" w:w="100"/>
              <w:bottom w:type="dxa" w:w="70"/>
              <w:right w:type="dxa" w:w="100"/>
            </w:tcMar>
          </w:tcPr>
          <w:p>
            <w:pPr>
              <w:spacing w:after="0" w:line="250"/>
            </w:pPr>
            <w:r>
              <w:rPr>
                <w:color w:val="1A1A1A"/>
                <w:sz w:val="19"/>
                <w:szCs w:val="19"/>
              </w:rPr>
              <w:t xml:space="preserve">Human &amp; Organisational</w:t>
            </w:r>
          </w:p>
        </w:tc>
        <w:tc>
          <w:tcPr>
            <w:tcW w:type="dxa" w:w="5026"/>
            <w:tcMar>
              <w:top w:type="dxa" w:w="70"/>
              <w:left w:type="dxa" w:w="100"/>
              <w:bottom w:type="dxa" w:w="70"/>
              <w:right w:type="dxa" w:w="100"/>
            </w:tcMar>
          </w:tcPr>
          <w:p>
            <w:pPr>
              <w:spacing w:after="0" w:line="250"/>
            </w:pPr>
            <w:r>
              <w:rPr>
                <w:color w:val="1A1A1A"/>
                <w:sz w:val="19"/>
                <w:szCs w:val="19"/>
              </w:rPr>
              <w:t xml:space="preserve">Where agents merge without a reviewer, the question is what happens to a reported mistake. sme-security-culture asks it.</w:t>
            </w:r>
          </w:p>
        </w:tc>
        <w:tc>
          <w:tcPr>
            <w:tcW w:type="dxa" w:w="2000"/>
            <w:tcMar>
              <w:top w:type="dxa" w:w="70"/>
              <w:left w:type="dxa" w:w="100"/>
              <w:bottom w:type="dxa" w:w="70"/>
              <w:right w:type="dxa" w:w="100"/>
            </w:tcMar>
          </w:tcPr>
          <w:p>
            <w:pPr>
              <w:spacing w:after="0" w:line="250"/>
            </w:pPr>
            <w:r>
              <w:rPr>
                <w:color w:val="1A1A1A"/>
                <w:sz w:val="19"/>
                <w:szCs w:val="19"/>
              </w:rPr>
              <w:t xml:space="preserve">architect-human</w:t>
            </w:r>
          </w:p>
        </w:tc>
      </w:tr>
    </w:tbl>
    <w:p>
      <w:pPr>
        <w:shd w:fill="F4F6F9" w:val="clear"/>
        <w:spacing w:after="0" w:line="240"/>
        <w:ind w:left="170" w:right="170"/>
      </w:pPr>
      <w:r>
        <w:rPr>
          <w:rFonts w:ascii="Consolas" w:cs="Consolas" w:eastAsia="Consolas" w:hAnsi="Consolas"/>
          <w:color w:val="22303F"/>
          <w:sz w:val="18"/>
          <w:szCs w:val="18"/>
        </w:rPr>
        <w:t xml:space="preserve">Use architect-emrg.</w:t>
      </w:r>
    </w:p>
    <w:p>
      <w:pPr>
        <w:shd w:fill="F4F6F9" w:val="clear"/>
        <w:spacing w:after="0" w:line="240"/>
        <w:ind w:left="170" w:right="170"/>
      </w:pPr>
      <w:r>
        <w:rPr>
          <w:rFonts w:ascii="Consolas" w:cs="Consolas" w:eastAsia="Consolas" w:hAnsi="Consolas"/>
          <w:color w:val="22303F"/>
          <w:sz w:val="18"/>
          <w:szCs w:val="18"/>
        </w:rPr>
        <w:t xml:space="preserve"> </w:t>
      </w:r>
    </w:p>
    <w:p>
      <w:pPr>
        <w:shd w:fill="F4F6F9" w:val="clear"/>
        <w:spacing w:after="0" w:line="240"/>
        <w:ind w:left="170" w:right="170"/>
      </w:pPr>
      <w:r>
        <w:rPr>
          <w:rFonts w:ascii="Consolas" w:cs="Consolas" w:eastAsia="Consolas" w:hAnsi="Consolas"/>
          <w:color w:val="22303F"/>
          <w:sz w:val="18"/>
          <w:szCs w:val="18"/>
        </w:rPr>
        <w:t xml:space="preserve">Context: projects/ai-agents-in-the-ci-cd-pipeline-agentic-sdlc-&lt;date&gt;/outputs/hld.md</w:t>
      </w:r>
    </w:p>
    <w:p>
      <w:pPr>
        <w:shd w:fill="F4F6F9" w:val="clear"/>
        <w:spacing w:after="0" w:line="240"/>
        <w:ind w:left="170" w:right="170"/>
      </w:pPr>
      <w:r>
        <w:rPr>
          <w:rFonts w:ascii="Consolas" w:cs="Consolas" w:eastAsia="Consolas" w:hAnsi="Consolas"/>
          <w:color w:val="22303F"/>
          <w:sz w:val="18"/>
          <w:szCs w:val="18"/>
        </w:rPr>
        <w:t xml:space="preserve">Question: the base plate covers nine domains and assesses nothing in AI/ML or</w:t>
      </w:r>
    </w:p>
    <w:p>
      <w:pPr>
        <w:shd w:fill="F4F6F9" w:val="clear"/>
        <w:spacing w:after="0" w:line="240"/>
        <w:ind w:left="170" w:right="170"/>
      </w:pPr>
      <w:r>
        <w:rPr>
          <w:rFonts w:ascii="Consolas" w:cs="Consolas" w:eastAsia="Consolas" w:hAnsi="Consolas"/>
          <w:color w:val="22303F"/>
          <w:sz w:val="18"/>
          <w:szCs w:val="18"/>
        </w:rPr>
        <w:t xml:space="preserve">agentic-system risk. Agents will hold repository commit rights, trigger pipeline</w:t>
      </w:r>
    </w:p>
    <w:p>
      <w:pPr>
        <w:shd w:fill="F4F6F9" w:val="clear"/>
        <w:spacing w:after="0" w:line="240"/>
        <w:ind w:left="170" w:right="170"/>
      </w:pPr>
      <w:r>
        <w:rPr>
          <w:rFonts w:ascii="Consolas" w:cs="Consolas" w:eastAsia="Consolas" w:hAnsi="Consolas"/>
          <w:color w:val="22303F"/>
          <w:sz w:val="18"/>
          <w:szCs w:val="18"/>
        </w:rPr>
        <w:t xml:space="preserve">stages, and later merge low-risk changes unreviewed. What does this design</w:t>
      </w:r>
    </w:p>
    <w:p>
      <w:pPr>
        <w:shd w:fill="F4F6F9" w:val="clear"/>
        <w:spacing w:after="160" w:line="240"/>
        <w:ind w:left="170" w:right="170"/>
      </w:pPr>
      <w:r>
        <w:rPr>
          <w:rFonts w:ascii="Consolas" w:cs="Consolas" w:eastAsia="Consolas" w:hAnsi="Consolas"/>
          <w:color w:val="22303F"/>
          <w:sz w:val="18"/>
          <w:szCs w:val="18"/>
        </w:rPr>
        <w:t xml:space="preserve">get wrong, and what has nobody asked?</w:t>
      </w:r>
    </w:p>
    <w:p>
      <w:pPr>
        <w:pStyle w:val="Heading2"/>
        <w:spacing w:after="120" w:before="280"/>
      </w:pPr>
      <w:r>
        <w:rPr>
          <w:b/>
          <w:bCs/>
          <w:color w:val="1F4E79"/>
          <w:sz w:val="24"/>
          <w:szCs w:val="24"/>
        </w:rPr>
        <w:t xml:space="preserve">6.9 Iterating</w:t>
      </w:r>
    </w:p>
    <w:p>
      <w:pPr>
        <w:spacing w:after="140" w:line="276"/>
      </w:pPr>
      <w:r>
        <w:rPr>
          <w:color w:val="1A1A1A"/>
          <w:sz w:val="21"/>
          <w:szCs w:val="21"/>
        </w:rPr>
        <w:t xml:space="preserve">The base plate is a living artefact until the verdict reaches Stable. Pin numbers and fix positions as answers land, and re-run — the change flows through the reconciliation and lands in both ledgers.</w:t>
      </w:r>
    </w:p>
    <w:p>
      <w:pPr>
        <w:shd w:fill="F4F6F9" w:val="clear"/>
        <w:spacing w:after="0" w:line="240"/>
        <w:ind w:left="170" w:right="170"/>
      </w:pPr>
      <w:r>
        <w:rPr>
          <w:rFonts w:ascii="Consolas" w:cs="Consolas" w:eastAsia="Consolas" w:hAnsi="Consolas"/>
          <w:color w:val="22303F"/>
          <w:sz w:val="18"/>
          <w:szCs w:val="18"/>
        </w:rPr>
        <w:t xml:space="preserve">python3 -m eas pin &lt;project-id&gt; secops "Type 1 detection source volume" \</w:t>
      </w:r>
    </w:p>
    <w:p>
      <w:pPr>
        <w:shd w:fill="F4F6F9" w:val="clear"/>
        <w:spacing w:after="0" w:line="240"/>
        <w:ind w:left="170" w:right="170"/>
      </w:pPr>
      <w:r>
        <w:rPr>
          <w:rFonts w:ascii="Consolas" w:cs="Consolas" w:eastAsia="Consolas" w:hAnsi="Consolas"/>
          <w:color w:val="22303F"/>
          <w:sz w:val="18"/>
          <w:szCs w:val="18"/>
        </w:rPr>
        <w:t xml:space="preserve">                   "180 GB/day" "20 GB/day" "2 GB/day"</w:t>
      </w:r>
    </w:p>
    <w:p>
      <w:pPr>
        <w:shd w:fill="F4F6F9" w:val="clear"/>
        <w:spacing w:after="0" w:line="240"/>
        <w:ind w:left="170" w:right="170"/>
      </w:pPr>
      <w:r>
        <w:rPr>
          <w:rFonts w:ascii="Consolas" w:cs="Consolas" w:eastAsia="Consolas" w:hAnsi="Consolas"/>
          <w:color w:val="22303F"/>
          <w:sz w:val="18"/>
          <w:szCs w:val="18"/>
        </w:rPr>
        <w:t xml:space="preserve">python3 -m eas set &lt;project-id&gt; identity-access IAM-03   # if IAM-04 is unaffordable</w:t>
      </w:r>
    </w:p>
    <w:p>
      <w:pPr>
        <w:shd w:fill="F4F6F9" w:val="clear"/>
        <w:spacing w:after="160" w:line="240"/>
        <w:ind w:left="170" w:right="170"/>
      </w:pPr>
      <w:r>
        <w:rPr>
          <w:rFonts w:ascii="Consolas" w:cs="Consolas" w:eastAsia="Consolas" w:hAnsi="Consolas"/>
          <w:color w:val="22303F"/>
          <w:sz w:val="18"/>
          <w:szCs w:val="18"/>
        </w:rPr>
        <w:t xml:space="preserve">python3 -m eas run &lt;project-id&gt;</w:t>
      </w:r>
    </w:p>
    <w:p>
      <w:pPr>
        <w:spacing w:after="140" w:line="276"/>
      </w:pPr>
      <w:r>
        <w:rPr>
          <w:color w:val="1A1A1A"/>
          <w:sz w:val="21"/>
          <w:szCs w:val="21"/>
        </w:rPr>
        <w:t xml:space="preserve">A domain you fix by hand is never overruled — the orchestrator routes repairs through the other domains and reports whatever it could not reconcile. Setting IAM back to IAM-03 here would surface, rather than hide, what the network position then loses.</w:t>
      </w:r>
    </w:p>
    <w:p>
      <w:pPr>
        <w:pBdr>
          <w:bottom w:val="single" w:color="D9DEE5" w:sz="6"/>
        </w:pBdr>
        <w:spacing w:after="160" w:before="60"/>
      </w:pPr>
    </w:p>
    <w:p>
      <w:pPr>
        <w:spacing w:after="140" w:line="276"/>
      </w:pPr>
      <w:r>
        <w:rPr>
          <w:i/>
          <w:iCs/>
          <w:color w:val="5B6572"/>
          <w:sz w:val="19"/>
          <w:szCs w:val="19"/>
        </w:rPr>
        <w:t xml:space="preserve">Generated from the framework's own output. The runs behind sections 4 and 6 are reproducible: same catalogue, brief, overrides and pins, same base plate.</w:t>
      </w:r>
    </w:p>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Architect Strategy — setup, flow and worked examples</dc:title>
  <dc:creator>Enterprise Architect Strategy framework</dc:creator>
  <cp:lastModifiedBy>Un-named</cp:lastModifiedBy>
  <cp:revision>1</cp:revision>
  <dcterms:created xsi:type="dcterms:W3CDTF">2026-08-28T10:38:17.612Z</dcterms:created>
  <dcterms:modified xsi:type="dcterms:W3CDTF">2026-08-28T10:38:17.625Z</dcterms:modified>
</cp:coreProperties>
</file>

<file path=docProps/custom.xml><?xml version="1.0" encoding="utf-8"?>
<Properties xmlns="http://schemas.openxmlformats.org/officeDocument/2006/custom-properties" xmlns:vt="http://schemas.openxmlformats.org/officeDocument/2006/docPropsVTypes"/>
</file>