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5B7CFA"/>
          <w:sz w:val="56"/>
          <w:szCs w:val="56"/>
        </w:rPr>
        <w:t xml:space="preserve">SHADOW AGENT PRO</w:t>
      </w:r>
    </w:p>
    <w:p>
      <w:pPr>
        <w:spacing w:after="800" w:before="200"/>
        <w:jc w:val="center"/>
      </w:pPr>
      <w:r>
        <w:rPr>
          <w:i/>
          <w:iCs/>
          <w:sz w:val="28"/>
          <w:szCs w:val="28"/>
        </w:rPr>
        <w:t xml:space="preserve">AI-Based Real-Time Malware &amp; Phishing Detection System</w:t>
      </w:r>
    </w:p>
    <w:p>
      <w:pPr>
        <w:spacing w:before="1200"/>
        <w:jc w:val="center"/>
      </w:pPr>
      <w:r>
        <w:rPr>
          <w:sz w:val="22"/>
          <w:szCs w:val="22"/>
        </w:rPr>
        <w:t xml:space="preserve">A Project Report Submitted in Partial Fulfilment of the Requirements for the Degree of</w:t>
      </w:r>
    </w:p>
    <w:p>
      <w:pPr>
        <w:spacing w:after="800" w:before="100"/>
        <w:jc w:val="center"/>
      </w:pPr>
      <w:r>
        <w:rPr>
          <w:b/>
          <w:bCs/>
          <w:sz w:val="24"/>
          <w:szCs w:val="24"/>
        </w:rPr>
        <w:t xml:space="preserve">Bachelor of Technology in Computer Science (Artificial Intelligence)</w:t>
      </w:r>
    </w:p>
    <w:p>
      <w:pPr>
        <w:spacing w:before="1200"/>
        <w:jc w:val="center"/>
      </w:pPr>
      <w:r>
        <w:rPr>
          <w:sz w:val="22"/>
          <w:szCs w:val="22"/>
        </w:rPr>
        <w:t xml:space="preserve">Submitted by</w:t>
      </w:r>
    </w:p>
    <w:p>
      <w:pPr>
        <w:spacing w:before="100"/>
        <w:jc w:val="center"/>
      </w:pPr>
      <w:r>
        <w:rPr>
          <w:b/>
          <w:bCs/>
          <w:sz w:val="22"/>
          <w:szCs w:val="22"/>
        </w:rPr>
        <w:t xml:space="preserve">Alladi Jaydurga (Enrollment No. 221020110013)</w:t>
      </w:r>
    </w:p>
    <w:p>
      <w:pPr>
        <w:spacing w:after="800" w:before="60"/>
        <w:jc w:val="center"/>
      </w:pPr>
      <w:r>
        <w:rPr>
          <w:b/>
          <w:bCs/>
          <w:sz w:val="22"/>
          <w:szCs w:val="22"/>
        </w:rPr>
        <w:t xml:space="preserve">Ranjith Kumar (Enrollment No. 221020110030)</w:t>
      </w:r>
    </w:p>
    <w:p>
      <w:pPr>
        <w:spacing w:before="1200"/>
        <w:jc w:val="center"/>
      </w:pPr>
      <w:r>
        <w:rPr>
          <w:sz w:val="22"/>
          <w:szCs w:val="22"/>
        </w:rPr>
        <w:t xml:space="preserve">Under the Supervision of</w:t>
      </w:r>
    </w:p>
    <w:p>
      <w:pPr>
        <w:spacing w:before="100"/>
        <w:jc w:val="center"/>
      </w:pPr>
      <w:r>
        <w:rPr>
          <w:b/>
          <w:bCs/>
          <w:sz w:val="22"/>
          <w:szCs w:val="22"/>
        </w:rPr>
        <w:t xml:space="preserve">Dr. Dinesh</w:t>
      </w:r>
    </w:p>
    <w:p>
      <w:pPr>
        <w:spacing w:before="1400"/>
        <w:jc w:val="center"/>
      </w:pPr>
      <w:r>
        <w:rPr>
          <w:sz w:val="22"/>
          <w:szCs w:val="22"/>
        </w:rPr>
        <w:t xml:space="preserve">OM Sterling Global University, Hisar</w:t>
      </w:r>
    </w:p>
    <w:p>
      <w:pPr>
        <w:sectPr>
          <w:pgSz w:w="12240" w:h="15840" w:orient="portrait"/>
          <w:pgMar w:top="1440" w:right="1440" w:bottom="1440" w:left="1440" w:header="708" w:footer="708" w:gutter="0"/>
          <w:pgNumType/>
          <w:docGrid w:linePitch="360"/>
        </w:sectPr>
      </w:pPr>
    </w:p>
    <w:p>
      <w:pPr>
        <w:pStyle w:val="Heading1"/>
        <w:spacing w:after="200" w:before="400"/>
      </w:pPr>
      <w:r>
        <w:t xml:space="preserve">Certificate</w:t>
      </w:r>
    </w:p>
    <w:p>
      <w:pPr>
        <w:spacing w:after="160"/>
      </w:pPr>
      <w:r>
        <w:t xml:space="preserve">This is to certify that the project report entitled “Shadow Agent Pro: AI-Based Real-Time Malware &amp; Phishing Detection System” has been carried out by Alladi Jaydurga (221020110013) and Ranjith Kumar (221020110030) under my supervision, in partial fulfilment of the requirements for the award of the degree of Bachelor of Technology in Computer Science (Artificial Intelligence) at OM Sterling Global University, Hisar.</w:t>
      </w:r>
    </w:p>
    <w:p>
      <w:pPr>
        <w:spacing w:after="160"/>
      </w:pPr>
      <w:r>
        <w:t xml:space="preserve">The work presented in this report is original and has not been submitted elsewhere for any other degree or diploma.</w:t>
      </w:r>
    </w:p>
    <w:p>
      <w:pPr>
        <w:spacing w:before="800"/>
      </w:pPr>
    </w:p>
    <w:p>
      <w:pPr>
        <w:spacing w:after="160"/>
      </w:pPr>
      <w:r>
        <w:rPr>
          <w:b/>
          <w:bCs/>
        </w:rPr>
        <w:t xml:space="preserve">Dr. Dinesh</w:t>
      </w:r>
    </w:p>
    <w:p>
      <w:pPr>
        <w:spacing w:after="160"/>
      </w:pPr>
      <w:r>
        <w:t xml:space="preserve">Project Supervisor</w:t>
      </w:r>
    </w:p>
    <w:p>
      <w:pPr>
        <w:spacing w:before="400"/>
      </w:pPr>
    </w:p>
    <w:p>
      <w:pPr>
        <w:spacing w:after="160"/>
      </w:pPr>
      <w:r>
        <w:rPr>
          <w:b/>
          <w:bCs/>
        </w:rPr>
        <w:t xml:space="preserve">Dr. Parveen Seghal</w:t>
      </w:r>
    </w:p>
    <w:p>
      <w:pPr>
        <w:spacing w:after="160"/>
      </w:pPr>
      <w:r>
        <w:t xml:space="preserve">Head of Department</w:t>
      </w:r>
    </w:p>
    <w:p>
      <w:pPr>
        <w:sectPr>
          <w:pgSz w:w="12240" w:h="15840" w:orient="portrait"/>
          <w:pgMar w:top="1440" w:right="1440" w:bottom="1440" w:left="1440" w:header="708" w:footer="708" w:gutter="0"/>
          <w:pgNumType/>
          <w:docGrid w:linePitch="360"/>
        </w:sectPr>
      </w:pPr>
    </w:p>
    <w:p>
      <w:pPr>
        <w:pStyle w:val="Heading1"/>
        <w:spacing w:after="200" w:before="400"/>
      </w:pPr>
      <w:r>
        <w:t xml:space="preserve">Acknowledgement</w:t>
      </w:r>
    </w:p>
    <w:p>
      <w:pPr>
        <w:spacing w:after="160"/>
      </w:pPr>
      <w:r>
        <w:t xml:space="preserve">We express our sincere gratitude to our supervisor, Dr. Dinesh, for his continuous guidance, valuable feedback, and encouragement throughout the development of this project. We are also thankful to Dr. Parveen Seghal, Head of Department, for providing the academic environment and resources necessary to complete this work.</w:t>
      </w:r>
    </w:p>
    <w:p>
      <w:pPr>
        <w:spacing w:after="160"/>
      </w:pPr>
      <w:r>
        <w:t xml:space="preserve">We acknowledge the open-source community whose datasets and tools (scikit-learn, Flask, React, and the public URL datasets referenced in this report) made this project possible, and OM Sterling Global University for the opportunity to undertake this capstone project.</w:t>
      </w:r>
    </w:p>
    <w:p>
      <w:pPr>
        <w:sectPr>
          <w:pgSz w:w="12240" w:h="15840" w:orient="portrait"/>
          <w:pgMar w:top="1440" w:right="1440" w:bottom="1440" w:left="1440" w:header="708" w:footer="708" w:gutter="0"/>
          <w:pgNumType/>
          <w:docGrid w:linePitch="360"/>
        </w:sectPr>
      </w:pPr>
    </w:p>
    <w:p>
      <w:pPr>
        <w:pStyle w:val="Heading1"/>
        <w:spacing w:after="200" w:before="400"/>
      </w:pPr>
      <w:r>
        <w:t xml:space="preserve">Abstract</w:t>
      </w:r>
    </w:p>
    <w:p>
      <w:pPr>
        <w:spacing w:after="160"/>
      </w:pPr>
      <w:r>
        <w:t xml:space="preserve">Traditional signature-based antivirus and blocklist systems struggle against zero-day phishing domains and polymorphic malware distribution, since they can only recognize threats that have already been catalogued. Shadow Agent Pro is a three-tier system — a Chrome MV3 browser extension, a Flask REST API, and a React dashboard — that replaces static rule-matching with adaptive, machine-learning-driven URL and content analysis.</w:t>
      </w:r>
    </w:p>
    <w:p>
      <w:pPr>
        <w:spacing w:after="160"/>
      </w:pPr>
      <w:r>
        <w:t xml:space="preserve">The detection core combines two independently-trained models in an ensemble: a Random Forest classifier over 25+ hand-engineered lexical, domain, and SSL-certificate features, and a character n-gram model (TF-IDF + Logistic Regression) that learns directly from raw URL text with no manual feature engineering. Verdicts are further cross-checked against VirusTotal and Google Safe Browsing when configured, and explained to the end user via SHAP feature attribution.</w:t>
      </w:r>
    </w:p>
    <w:p>
      <w:pPr>
        <w:spacing w:after="160"/>
      </w:pPr>
      <w:r>
        <w:t xml:space="preserve">A key engineering contribution of this project is its real-time architecture: scan requests return a heuristic verdict in under one second, while slower checks (WHOIS domain age, live SSL handshake validation, external threat-intelligence lookups) run asynchronously via Celery and push refined verdicts to connected clients over WebSocket — so accuracy is improved after the fact without making the user wait for it.</w:t>
      </w:r>
    </w:p>
    <w:p>
      <w:pPr>
        <w:spacing w:after="160"/>
      </w:pPr>
      <w:r>
        <w:t xml:space="preserve">Trained on a real-world dataset of 420,000+ labeled URLs, the system achieves approximately 87% accuracy (ROC-AUC 0.94) on held-out real data with the Random Forest model and 90%+ with the character n-gram model. A second pipeline combining live URLhaus and Tranco data achieved 100% accuracy on its own held-out split — investigated and explained in Chapter 4 as a property of that dataset's lexical separability rather than an inflated claim, and validated against a harder, hand-constructed typosquat case where the two ensemble members' scores diverged (95.3% vs. 38.4%) in an informative and explainable way. During development, a genuine model-bias issue was identified and fixed: because phishing datasets disproportionately contain brand-impersonation domains, naive text models can learn to distrust popular brand names themselves — addressed here with a small, exact-match allowlist rather than by hiding the underlying limitation.</w:t>
      </w:r>
    </w:p>
    <w:p>
      <w:pPr>
        <w:sectPr>
          <w:pgSz w:w="12240" w:h="15840" w:orient="portrait"/>
          <w:pgMar w:top="1440" w:right="1440" w:bottom="1440" w:left="1440" w:header="708" w:footer="708" w:gutter="0"/>
          <w:pgNumType/>
          <w:docGrid w:linePitch="360"/>
        </w:sectPr>
      </w:pPr>
    </w:p>
    <w:p>
      <w:pPr>
        <w:pStyle w:val="Heading1"/>
        <w:spacing w:after="200" w:before="400"/>
      </w:pPr>
      <w:r>
        <w:t xml:space="preserve">Chapter 1: Introduction</w:t>
      </w:r>
    </w:p>
    <w:p>
      <w:pPr>
        <w:pStyle w:val="Heading2"/>
        <w:spacing w:after="150" w:before="300"/>
      </w:pPr>
      <w:r>
        <w:t xml:space="preserve">1.1 Background</w:t>
      </w:r>
    </w:p>
    <w:p>
      <w:pPr>
        <w:spacing w:after="160"/>
      </w:pPr>
      <w:r>
        <w:t xml:space="preserve">Phishing and malware distribution remain among the most common vectors for compromising individual users and organizations. Signature- and blocklist-based defenses are inherently reactive: a URL must first be reported, verified, and catalogued before it can be blocked, leaving a window during which new or slightly-modified malicious domains go undetected.</w:t>
      </w:r>
    </w:p>
    <w:p>
      <w:pPr>
        <w:pStyle w:val="Heading2"/>
        <w:spacing w:after="150" w:before="300"/>
      </w:pPr>
      <w:r>
        <w:t xml:space="preserve">1.2 Problem Statement</w:t>
      </w:r>
    </w:p>
    <w:p>
      <w:pPr>
        <w:spacing w:after="160"/>
      </w:pPr>
      <w:r>
        <w:t xml:space="preserve">Design and implement a browser-integrated security system capable of classifying URLs and page content as safe, suspicious, or malicious in real time, using machine learning rather than static rules, while remaining fast enough not to disrupt normal browsing.</w:t>
      </w:r>
    </w:p>
    <w:p>
      <w:pPr>
        <w:pStyle w:val="Heading2"/>
        <w:spacing w:after="150" w:before="300"/>
      </w:pPr>
      <w:r>
        <w:t xml:space="preserve">1.3 Objectives</w:t>
      </w:r>
    </w:p>
    <w:p>
      <w:pPr>
        <w:pStyle w:val="ListParagraph"/>
        <w:numPr>
          <w:ilvl w:val="0"/>
          <w:numId w:val="1"/>
        </w:numPr>
        <w:spacing w:after="80"/>
      </w:pPr>
      <w:r>
        <w:t xml:space="preserve">Build an ML pipeline that classifies URLs using lexical, domain-age, SSL, and content-based features.</w:t>
      </w:r>
    </w:p>
    <w:p>
      <w:pPr>
        <w:pStyle w:val="ListParagraph"/>
        <w:numPr>
          <w:ilvl w:val="0"/>
          <w:numId w:val="1"/>
        </w:numPr>
        <w:spacing w:after="80"/>
      </w:pPr>
      <w:r>
        <w:t xml:space="preserve">Achieve sub-second response time for the browser-facing scan path.</w:t>
      </w:r>
    </w:p>
    <w:p>
      <w:pPr>
        <w:pStyle w:val="ListParagraph"/>
        <w:numPr>
          <w:ilvl w:val="0"/>
          <w:numId w:val="1"/>
        </w:numPr>
        <w:spacing w:after="80"/>
      </w:pPr>
      <w:r>
        <w:t xml:space="preserve">Cross-validate ML verdicts against established threat-intelligence sources (VirusTotal, Google Safe Browsing).</w:t>
      </w:r>
    </w:p>
    <w:p>
      <w:pPr>
        <w:pStyle w:val="ListParagraph"/>
        <w:numPr>
          <w:ilvl w:val="0"/>
          <w:numId w:val="1"/>
        </w:numPr>
        <w:spacing w:after="80"/>
      </w:pPr>
      <w:r>
        <w:t xml:space="preserve">Provide a real-time operational dashboard for monitoring detections as they happen.</w:t>
      </w:r>
    </w:p>
    <w:p>
      <w:pPr>
        <w:pStyle w:val="ListParagraph"/>
        <w:numPr>
          <w:ilvl w:val="0"/>
          <w:numId w:val="1"/>
        </w:numPr>
        <w:spacing w:after="80"/>
      </w:pPr>
      <w:r>
        <w:t xml:space="preserve">Ensure the system degrades gracefully when optional dependencies (Redis, external API keys) are unavailable.</w:t>
      </w:r>
    </w:p>
    <w:p>
      <w:pPr>
        <w:pStyle w:val="Heading2"/>
        <w:spacing w:after="150" w:before="300"/>
      </w:pPr>
      <w:r>
        <w:t xml:space="preserve">1.4 Proposed System</w:t>
      </w:r>
    </w:p>
    <w:p>
      <w:pPr>
        <w:spacing w:after="160"/>
      </w:pPr>
      <w:r>
        <w:t xml:space="preserve">A three-tier architecture: a Chrome Manifest V3 extension for browser-layer interception and blocking, a Flask REST API performing ML inference and orchestrating background verification, and a React dashboard for visualization, manual scanning, and system monitoring. Full detail is provided in Chapter 3.</w:t>
      </w:r>
    </w:p>
    <w:p>
      <w:pPr>
        <w:pStyle w:val="Heading2"/>
        <w:spacing w:after="150" w:before="300"/>
      </w:pPr>
      <w:r>
        <w:t xml:space="preserve">1.5 Scope</w:t>
      </w:r>
    </w:p>
    <w:p>
      <w:pPr>
        <w:spacing w:after="160"/>
      </w:pPr>
      <w:r>
        <w:t xml:space="preserve">The system targets URL- and page-content-based phishing/malware indicators. It does not perform binary/executable analysis, network traffic inspection, or email-specific phishing detection — these are noted as future work in Chapter 4.</w:t>
      </w:r>
    </w:p>
    <w:p>
      <w:pPr>
        <w:sectPr>
          <w:pgSz w:w="12240" w:h="15840" w:orient="portrait"/>
          <w:pgMar w:top="1440" w:right="1440" w:bottom="1440" w:left="1440" w:header="708" w:footer="708" w:gutter="0"/>
          <w:pgNumType/>
          <w:docGrid w:linePitch="360"/>
        </w:sectPr>
      </w:pPr>
    </w:p>
    <w:p>
      <w:pPr>
        <w:pStyle w:val="Heading1"/>
        <w:spacing w:after="200" w:before="400"/>
      </w:pPr>
      <w:r>
        <w:t xml:space="preserve">Chapter 2: Literature Review</w:t>
      </w:r>
    </w:p>
    <w:p>
      <w:pPr>
        <w:spacing w:after="160"/>
      </w:pPr>
      <w:r>
        <w:t xml:space="preserve">A brief review of prior work informing this project's design choices:</w:t>
      </w:r>
    </w:p>
    <w:p>
      <w:pPr>
        <w:pStyle w:val="Heading2"/>
        <w:spacing w:after="150" w:before="300"/>
      </w:pPr>
      <w:r>
        <w:t xml:space="preserve">Cohen (1987) — Computer Viruses: Theory and Experiments</w:t>
      </w:r>
    </w:p>
    <w:p>
      <w:pPr>
        <w:spacing w:after="160"/>
      </w:pPr>
      <w:r>
        <w:t xml:space="preserve">Established the theoretical basis for the undecidability of general malware detection, motivating heuristic and statistical approaches over exhaustive signature matching.</w:t>
      </w:r>
    </w:p>
    <w:p>
      <w:pPr>
        <w:pStyle w:val="Heading2"/>
        <w:spacing w:after="150" w:before="300"/>
      </w:pPr>
      <w:r>
        <w:t xml:space="preserve">Christodorescu &amp; Jha (2004) — Static Analysis of Executables to Detect Malicious Patterns</w:t>
      </w:r>
    </w:p>
    <w:p>
      <w:pPr>
        <w:spacing w:after="160"/>
      </w:pPr>
      <w:r>
        <w:t xml:space="preserve">Demonstrated semantic-aware static analysis for malware detection; informed this project's decision to combine multiple independent signal sources rather than relying on any single detection strategy.</w:t>
      </w:r>
    </w:p>
    <w:p>
      <w:pPr>
        <w:pStyle w:val="Heading2"/>
        <w:spacing w:after="150" w:before="300"/>
      </w:pPr>
      <w:r>
        <w:t xml:space="preserve">Saxe &amp; Berlin (2015) — Deep Neural Network Based Malware Detection</w:t>
      </w:r>
    </w:p>
    <w:p>
      <w:pPr>
        <w:spacing w:after="160"/>
      </w:pPr>
      <w:r>
        <w:t xml:space="preserve">Showed that neural architectures over raw byte/feature representations can rival hand-engineered approaches — directly relevant to this project's character n-gram second-opinion model, which similarly learns from raw text without manual feature design.</w:t>
      </w:r>
    </w:p>
    <w:p>
      <w:pPr>
        <w:pStyle w:val="Heading2"/>
        <w:spacing w:after="150" w:before="300"/>
      </w:pPr>
      <w:r>
        <w:t xml:space="preserve">Raff et al. (2018) — Malware Detection by Eating a Whole EXE (MalConv)</w:t>
      </w:r>
    </w:p>
    <w:p>
      <w:pPr>
        <w:spacing w:after="160"/>
      </w:pPr>
      <w:r>
        <w:t xml:space="preserve">Demonstrated end-to-end learning directly from raw bytes. This project adopts the same philosophy at a smaller scale — character n-grams over raw URLs — chosen specifically to avoid the heavy deep-learning dependency footprint (TensorFlow/PyTorch) that proved impractical to install reliably across the development environments used for this project (see Chapter 3, Environment Constraints).</w:t>
      </w:r>
    </w:p>
    <w:p>
      <w:pPr>
        <w:pStyle w:val="Heading2"/>
        <w:spacing w:after="150" w:before="300"/>
      </w:pPr>
      <w:r>
        <w:t xml:space="preserve">Sahingoz et al. (2019) — Machine Learning Based Phishing Detection from URLs</w:t>
      </w:r>
    </w:p>
    <w:p>
      <w:pPr>
        <w:spacing w:after="160"/>
      </w:pPr>
      <w:r>
        <w:t xml:space="preserve">Directly informed the lexical/domain feature set used in this project's Random Forest model (URL length, subdomain count, special-character frequency, IP-literal detection, and similar signals).</w:t>
      </w:r>
    </w:p>
    <w:p>
      <w:pPr>
        <w:sectPr>
          <w:pgSz w:w="12240" w:h="15840" w:orient="portrait"/>
          <w:pgMar w:top="1440" w:right="1440" w:bottom="1440" w:left="1440" w:header="708" w:footer="708" w:gutter="0"/>
          <w:pgNumType/>
          <w:docGrid w:linePitch="360"/>
        </w:sectPr>
      </w:pPr>
    </w:p>
    <w:p>
      <w:pPr>
        <w:pStyle w:val="Heading1"/>
        <w:spacing w:after="200" w:before="400"/>
      </w:pPr>
      <w:r>
        <w:t xml:space="preserve">Chapter 3: Materials and Methods</w:t>
      </w:r>
    </w:p>
    <w:p>
      <w:pPr>
        <w:pStyle w:val="Heading2"/>
        <w:spacing w:after="150" w:before="300"/>
      </w:pPr>
      <w:r>
        <w:t xml:space="preserve">3.1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5B7CFA" w:val="clear"/>
          </w:tcPr>
          <w:p>
            <w:r>
              <w:rPr>
                <w:b/>
                <w:bCs/>
                <w:color w:val="FFFFFF"/>
                <w:sz w:val="20"/>
                <w:szCs w:val="20"/>
              </w:rPr>
              <w:t xml:space="preserve">Component</w:t>
            </w:r>
          </w:p>
        </w:tc>
        <w:tc>
          <w:tcPr>
            <w:tcW w:type="dxa" w:w="4500"/>
            <w:shd w:fill="5B7CFA" w:val="clear"/>
          </w:tcPr>
          <w:p>
            <w:r>
              <w:rPr>
                <w:b/>
                <w:bCs/>
                <w:color w:val="FFFFFF"/>
                <w:sz w:val="20"/>
                <w:szCs w:val="20"/>
              </w:rPr>
              <w:t xml:space="preserve">Technology</w:t>
            </w:r>
          </w:p>
        </w:tc>
      </w:tr>
      <w:tr>
        <w:tc>
          <w:tcPr>
            <w:tcW w:type="dxa" w:w="4500"/>
          </w:tcPr>
          <w:p>
            <w:r>
              <w:rPr>
                <w:b w:val="false"/>
                <w:bCs w:val="false"/>
                <w:color w:val="000000"/>
                <w:sz w:val="20"/>
                <w:szCs w:val="20"/>
              </w:rPr>
              <w:t xml:space="preserve">Backend API</w:t>
            </w:r>
          </w:p>
        </w:tc>
        <w:tc>
          <w:tcPr>
            <w:tcW w:type="dxa" w:w="4500"/>
          </w:tcPr>
          <w:p>
            <w:r>
              <w:rPr>
                <w:b w:val="false"/>
                <w:bCs w:val="false"/>
                <w:color w:val="000000"/>
                <w:sz w:val="20"/>
                <w:szCs w:val="20"/>
              </w:rPr>
              <w:t xml:space="preserve">Python 3.11/3.12, Flask 3.0, Flask-SQLAlchemy</w:t>
            </w:r>
          </w:p>
        </w:tc>
      </w:tr>
      <w:tr>
        <w:tc>
          <w:tcPr>
            <w:tcW w:type="dxa" w:w="4500"/>
          </w:tcPr>
          <w:p>
            <w:r>
              <w:rPr>
                <w:b w:val="false"/>
                <w:bCs w:val="false"/>
                <w:color w:val="000000"/>
                <w:sz w:val="20"/>
                <w:szCs w:val="20"/>
              </w:rPr>
              <w:t xml:space="preserve">ML</w:t>
            </w:r>
          </w:p>
        </w:tc>
        <w:tc>
          <w:tcPr>
            <w:tcW w:type="dxa" w:w="4500"/>
          </w:tcPr>
          <w:p>
            <w:r>
              <w:rPr>
                <w:b w:val="false"/>
                <w:bCs w:val="false"/>
                <w:color w:val="000000"/>
                <w:sz w:val="20"/>
                <w:szCs w:val="20"/>
              </w:rPr>
              <w:t xml:space="preserve">scikit-learn (Random Forest, TF-IDF + Logistic Regression), SHAP</w:t>
            </w:r>
          </w:p>
        </w:tc>
      </w:tr>
      <w:tr>
        <w:tc>
          <w:tcPr>
            <w:tcW w:type="dxa" w:w="4500"/>
          </w:tcPr>
          <w:p>
            <w:r>
              <w:rPr>
                <w:b w:val="false"/>
                <w:bCs w:val="false"/>
                <w:color w:val="000000"/>
                <w:sz w:val="20"/>
                <w:szCs w:val="20"/>
              </w:rPr>
              <w:t xml:space="preserve">Async pipeline</w:t>
            </w:r>
          </w:p>
        </w:tc>
        <w:tc>
          <w:tcPr>
            <w:tcW w:type="dxa" w:w="4500"/>
          </w:tcPr>
          <w:p>
            <w:r>
              <w:rPr>
                <w:b w:val="false"/>
                <w:bCs w:val="false"/>
                <w:color w:val="000000"/>
                <w:sz w:val="20"/>
                <w:szCs w:val="20"/>
              </w:rPr>
              <w:t xml:space="preserve">Celery, Redis</w:t>
            </w:r>
          </w:p>
        </w:tc>
      </w:tr>
      <w:tr>
        <w:tc>
          <w:tcPr>
            <w:tcW w:type="dxa" w:w="4500"/>
          </w:tcPr>
          <w:p>
            <w:r>
              <w:rPr>
                <w:b w:val="false"/>
                <w:bCs w:val="false"/>
                <w:color w:val="000000"/>
                <w:sz w:val="20"/>
                <w:szCs w:val="20"/>
              </w:rPr>
              <w:t xml:space="preserve">Real-time</w:t>
            </w:r>
          </w:p>
        </w:tc>
        <w:tc>
          <w:tcPr>
            <w:tcW w:type="dxa" w:w="4500"/>
          </w:tcPr>
          <w:p>
            <w:r>
              <w:rPr>
                <w:b w:val="false"/>
                <w:bCs w:val="false"/>
                <w:color w:val="000000"/>
                <w:sz w:val="20"/>
                <w:szCs w:val="20"/>
              </w:rPr>
              <w:t xml:space="preserve">Flask-SocketIO, Socket.IO client</w:t>
            </w:r>
          </w:p>
        </w:tc>
      </w:tr>
      <w:tr>
        <w:tc>
          <w:tcPr>
            <w:tcW w:type="dxa" w:w="4500"/>
          </w:tcPr>
          <w:p>
            <w:r>
              <w:rPr>
                <w:b w:val="false"/>
                <w:bCs w:val="false"/>
                <w:color w:val="000000"/>
                <w:sz w:val="20"/>
                <w:szCs w:val="20"/>
              </w:rPr>
              <w:t xml:space="preserve">Auth</w:t>
            </w:r>
          </w:p>
        </w:tc>
        <w:tc>
          <w:tcPr>
            <w:tcW w:type="dxa" w:w="4500"/>
          </w:tcPr>
          <w:p>
            <w:r>
              <w:rPr>
                <w:b w:val="false"/>
                <w:bCs w:val="false"/>
                <w:color w:val="000000"/>
                <w:sz w:val="20"/>
                <w:szCs w:val="20"/>
              </w:rPr>
              <w:t xml:space="preserve">PyJWT</w:t>
            </w:r>
          </w:p>
        </w:tc>
      </w:tr>
      <w:tr>
        <w:tc>
          <w:tcPr>
            <w:tcW w:type="dxa" w:w="4500"/>
          </w:tcPr>
          <w:p>
            <w:r>
              <w:rPr>
                <w:b w:val="false"/>
                <w:bCs w:val="false"/>
                <w:color w:val="000000"/>
                <w:sz w:val="20"/>
                <w:szCs w:val="20"/>
              </w:rPr>
              <w:t xml:space="preserve">Browser extension</w:t>
            </w:r>
          </w:p>
        </w:tc>
        <w:tc>
          <w:tcPr>
            <w:tcW w:type="dxa" w:w="4500"/>
          </w:tcPr>
          <w:p>
            <w:r>
              <w:rPr>
                <w:b w:val="false"/>
                <w:bCs w:val="false"/>
                <w:color w:val="000000"/>
                <w:sz w:val="20"/>
                <w:szCs w:val="20"/>
              </w:rPr>
              <w:t xml:space="preserve">Chrome Manifest V3</w:t>
            </w:r>
          </w:p>
        </w:tc>
      </w:tr>
      <w:tr>
        <w:tc>
          <w:tcPr>
            <w:tcW w:type="dxa" w:w="4500"/>
          </w:tcPr>
          <w:p>
            <w:r>
              <w:rPr>
                <w:b w:val="false"/>
                <w:bCs w:val="false"/>
                <w:color w:val="000000"/>
                <w:sz w:val="20"/>
                <w:szCs w:val="20"/>
              </w:rPr>
              <w:t xml:space="preserve">Dashboard</w:t>
            </w:r>
          </w:p>
        </w:tc>
        <w:tc>
          <w:tcPr>
            <w:tcW w:type="dxa" w:w="4500"/>
          </w:tcPr>
          <w:p>
            <w:r>
              <w:rPr>
                <w:b w:val="false"/>
                <w:bCs w:val="false"/>
                <w:color w:val="000000"/>
                <w:sz w:val="20"/>
                <w:szCs w:val="20"/>
              </w:rPr>
              <w:t xml:space="preserve">React 18, Vite, Recharts, lucide-react</w:t>
            </w:r>
          </w:p>
        </w:tc>
      </w:tr>
      <w:tr>
        <w:tc>
          <w:tcPr>
            <w:tcW w:type="dxa" w:w="4500"/>
          </w:tcPr>
          <w:p>
            <w:r>
              <w:rPr>
                <w:b w:val="false"/>
                <w:bCs w:val="false"/>
                <w:color w:val="000000"/>
                <w:sz w:val="20"/>
                <w:szCs w:val="20"/>
              </w:rPr>
              <w:t xml:space="preserve">Testing / CI</w:t>
            </w:r>
          </w:p>
        </w:tc>
        <w:tc>
          <w:tcPr>
            <w:tcW w:type="dxa" w:w="4500"/>
          </w:tcPr>
          <w:p>
            <w:r>
              <w:rPr>
                <w:b w:val="false"/>
                <w:bCs w:val="false"/>
                <w:color w:val="000000"/>
                <w:sz w:val="20"/>
                <w:szCs w:val="20"/>
              </w:rPr>
              <w:t xml:space="preserve">pytest, GitHub Actions</w:t>
            </w:r>
          </w:p>
        </w:tc>
      </w:tr>
    </w:tbl>
    <w:p>
      <w:pPr>
        <w:spacing w:before="200"/>
      </w:pPr>
    </w:p>
    <w:p>
      <w:pPr>
        <w:pStyle w:val="Heading2"/>
        <w:spacing w:after="150" w:before="300"/>
      </w:pPr>
      <w:r>
        <w:t xml:space="preserve">3.2 System Architecture</w:t>
      </w:r>
    </w:p>
    <w:p>
      <w:pPr>
        <w:spacing w:after="160"/>
      </w:pPr>
      <w:r>
        <w:t xml:space="preserve">The system is composed of three tiers communicating over a REST + WebSocket API (see accompanying architecture diagram in the project README). The extension intercepts navigation events and sends URLs to the API; the API returns a fast heuristic verdict immediately and queues a background task for deeper verification; the dashboard subscribes to live updates over WebSocket so newly-confirmed threats and refined verdicts appear without polling.</w:t>
      </w:r>
    </w:p>
    <w:p>
      <w:pPr>
        <w:pStyle w:val="Heading2"/>
        <w:spacing w:after="150" w:before="300"/>
      </w:pPr>
      <w:r>
        <w:t xml:space="preserve">3.3 Detection Methodology</w:t>
      </w:r>
    </w:p>
    <w:p>
      <w:pPr>
        <w:pStyle w:val="ListParagraph"/>
        <w:numPr>
          <w:ilvl w:val="0"/>
          <w:numId w:val="1"/>
        </w:numPr>
        <w:spacing w:after="80"/>
      </w:pPr>
      <w:r>
        <w:t xml:space="preserve">URL heuristics: length, IP-literal detection, subdomain count, special-character frequency, brand-keyword position, shortener detection, Shannon entropy of the hostname.</w:t>
      </w:r>
    </w:p>
    <w:p>
      <w:pPr>
        <w:pStyle w:val="ListParagraph"/>
        <w:numPr>
          <w:ilvl w:val="0"/>
          <w:numId w:val="1"/>
        </w:numPr>
        <w:spacing w:after="80"/>
      </w:pPr>
      <w:r>
        <w:t xml:space="preserve">Domain age via WHOIS: domains registered within 30 days are flagged as higher risk (performed only in the asynchronous deep-scan path to avoid blocking the user-facing response).</w:t>
      </w:r>
    </w:p>
    <w:p>
      <w:pPr>
        <w:pStyle w:val="ListParagraph"/>
        <w:numPr>
          <w:ilvl w:val="0"/>
          <w:numId w:val="1"/>
        </w:numPr>
        <w:spacing w:after="80"/>
      </w:pPr>
      <w:r>
        <w:t xml:space="preserve">SSL certificate validation: presence, expiry, self-signed status, and hostname/CN match.</w:t>
      </w:r>
    </w:p>
    <w:p>
      <w:pPr>
        <w:pStyle w:val="ListParagraph"/>
        <w:numPr>
          <w:ilvl w:val="0"/>
          <w:numId w:val="1"/>
        </w:numPr>
        <w:spacing w:after="80"/>
      </w:pPr>
      <w:r>
        <w:t xml:space="preserve">Ensemble ML classification: a Random Forest (25+ features, RandomizedSearchCV-tuned) blended 65/35 with a character n-gram model (TF-IDF over 3–5 character n-grams + Logistic Regression).</w:t>
      </w:r>
    </w:p>
    <w:p>
      <w:pPr>
        <w:pStyle w:val="ListParagraph"/>
        <w:numPr>
          <w:ilvl w:val="0"/>
          <w:numId w:val="1"/>
        </w:numPr>
        <w:spacing w:after="80"/>
      </w:pPr>
      <w:r>
        <w:t xml:space="preserve">SHAP explainability: top contributing features are surfaced as human-readable reasons, computed with a hard timeout so a slow explanation never blocks the response.</w:t>
      </w:r>
    </w:p>
    <w:p>
      <w:pPr>
        <w:pStyle w:val="ListParagraph"/>
        <w:numPr>
          <w:ilvl w:val="0"/>
          <w:numId w:val="1"/>
        </w:numPr>
        <w:spacing w:after="80"/>
      </w:pPr>
      <w:r>
        <w:t xml:space="preserve">Typosquat detection: Levenshtein edit distance against a curated list of frequently-impersonated brand domains.</w:t>
      </w:r>
    </w:p>
    <w:p>
      <w:pPr>
        <w:pStyle w:val="ListParagraph"/>
        <w:numPr>
          <w:ilvl w:val="0"/>
          <w:numId w:val="1"/>
        </w:numPr>
        <w:spacing w:after="80"/>
      </w:pPr>
      <w:r>
        <w:t xml:space="preserve">External cross-checks: VirusTotal and Google Safe Browsing, queried asynchronously and fused into the final confidence score.</w:t>
      </w:r>
    </w:p>
    <w:p>
      <w:pPr>
        <w:pStyle w:val="Heading2"/>
        <w:spacing w:after="150" w:before="300"/>
      </w:pPr>
      <w:r>
        <w:t xml:space="preserve">3.4 Dataset</w:t>
      </w:r>
    </w:p>
    <w:p>
      <w:pPr>
        <w:spacing w:after="160"/>
      </w:pPr>
      <w:r>
        <w:t xml:space="preserve">Three dataset pipelines were built for this project, of increasing methodological strength. A synthetic generator (generate_sample_dataset.py) produces typosquat/IP-literal/shortener patterns for rapid pipeline testing without external data access. A static real dataset (download_real_dataset.py) pulls 420,000+ labeled URLs (~345,000 benign, ~76,000 malicious) from a public 2016-era threat feed mix. A live dataset pipeline (download_live_dataset.py / build_local_dataset.py) combines currently-active malicious URLs from URLhaus (abuse.ch, updated every 5 minutes) with benign domains from Tranco, a research-grade top-domains ranking built as the academic replacement for the discontinued Alexa Top 1M — closely matching the PhishTank/Alexa/URLhaus combination originally scoped for this project, with Tranco standing in for Alexa. All three are described in ml-training/README.</w:t>
      </w:r>
    </w:p>
    <w:p>
      <w:pPr>
        <w:pStyle w:val="Heading2"/>
        <w:spacing w:after="150" w:before="300"/>
      </w:pPr>
      <w:r>
        <w:t xml:space="preserve">3.5 Model Training</w:t>
      </w:r>
    </w:p>
    <w:p>
      <w:pPr>
        <w:spacing w:after="160"/>
      </w:pPr>
      <w:r>
        <w:t xml:space="preserve">The Random Forest was tuned via RandomizedSearchCV (25 candidate configurations, 5-fold cross-validation) over n_estimators, max_depth, min_samples_split/leaf, max_features, and class_weight. The character n-gram model was trained independently on the same train/test split. Both models, along with training metadata (version, timestamp, baseline metrics), are serialized with joblib for the API to load at startup.</w:t>
      </w:r>
    </w:p>
    <w:p>
      <w:pPr>
        <w:pStyle w:val="Heading2"/>
        <w:spacing w:after="150" w:before="300"/>
      </w:pPr>
      <w:r>
        <w:t xml:space="preserve">3.6 A Note on Environment Constraints</w:t>
      </w:r>
    </w:p>
    <w:p>
      <w:pPr>
        <w:spacing w:after="160"/>
      </w:pPr>
      <w:r>
        <w:t xml:space="preserve">During development, several real-world engineering obstacles were encountered and are documented here as they materially shaped design decisions: prebuilt wheels for compiled packages (scikit-learn, SHAP) are often unavailable for very new Python releases for months after launch, motivating the choice of floor-pinned (rather than exact-pinned) dependency versions; unbounded network calls (WHOIS lookups, SHAP computation, message-broker connections) were found to silently stall requests for tens of seconds under adverse conditions, motivating the hard-timeout and fail-fast patterns used throughout utils/whois_check.py, ml/predict.py, and routes/scan.py.</w:t>
      </w:r>
    </w:p>
    <w:p>
      <w:pPr>
        <w:sectPr>
          <w:pgSz w:w="12240" w:h="15840" w:orient="portrait"/>
          <w:pgMar w:top="1440" w:right="1440" w:bottom="1440" w:left="1440" w:header="708" w:footer="708" w:gutter="0"/>
          <w:pgNumType/>
          <w:docGrid w:linePitch="360"/>
        </w:sectPr>
      </w:pPr>
    </w:p>
    <w:p>
      <w:pPr>
        <w:pStyle w:val="Heading1"/>
        <w:spacing w:after="200" w:before="400"/>
      </w:pPr>
      <w:r>
        <w:t xml:space="preserve">Chapter 4: Results and Discussion</w:t>
      </w:r>
    </w:p>
    <w:p>
      <w:pPr>
        <w:pStyle w:val="Heading2"/>
        <w:spacing w:after="150" w:before="300"/>
      </w:pPr>
      <w:r>
        <w:t xml:space="preserve">4.1 Model Performance</w:t>
      </w:r>
    </w:p>
    <w:p>
      <w:pPr>
        <w:spacing w:after="160"/>
      </w:pPr>
      <w:r>
        <w:t xml:space="preserve">Representative results from a training run on real data (3,000 samples per class):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5B7CFA" w:val="clear"/>
          </w:tcPr>
          <w:p>
            <w:r>
              <w:rPr>
                <w:b/>
                <w:bCs/>
                <w:color w:val="FFFFFF"/>
                <w:sz w:val="20"/>
                <w:szCs w:val="20"/>
              </w:rPr>
              <w:t xml:space="preserve">Metric</w:t>
            </w:r>
          </w:p>
        </w:tc>
        <w:tc>
          <w:tcPr>
            <w:tcW w:type="dxa" w:w="3000"/>
            <w:shd w:fill="5B7CFA" w:val="clear"/>
          </w:tcPr>
          <w:p>
            <w:r>
              <w:rPr>
                <w:b/>
                <w:bCs/>
                <w:color w:val="FFFFFF"/>
                <w:sz w:val="20"/>
                <w:szCs w:val="20"/>
              </w:rPr>
              <w:t xml:space="preserve">Random Forest</w:t>
            </w:r>
          </w:p>
        </w:tc>
        <w:tc>
          <w:tcPr>
            <w:tcW w:type="dxa" w:w="3000"/>
            <w:shd w:fill="5B7CFA" w:val="clear"/>
          </w:tcPr>
          <w:p>
            <w:r>
              <w:rPr>
                <w:b/>
                <w:bCs/>
                <w:color w:val="FFFFFF"/>
                <w:sz w:val="20"/>
                <w:szCs w:val="20"/>
              </w:rPr>
              <w:t xml:space="preserve">Character N-gram</w:t>
            </w:r>
          </w:p>
        </w:tc>
      </w:tr>
      <w:tr>
        <w:tc>
          <w:tcPr>
            <w:tcW w:type="dxa" w:w="3000"/>
          </w:tcPr>
          <w:p>
            <w:r>
              <w:rPr>
                <w:b w:val="false"/>
                <w:bCs w:val="false"/>
                <w:color w:val="000000"/>
                <w:sz w:val="20"/>
                <w:szCs w:val="20"/>
              </w:rPr>
              <w:t xml:space="preserve">Accuracy</w:t>
            </w:r>
          </w:p>
        </w:tc>
        <w:tc>
          <w:tcPr>
            <w:tcW w:type="dxa" w:w="3000"/>
          </w:tcPr>
          <w:p>
            <w:r>
              <w:rPr>
                <w:b w:val="false"/>
                <w:bCs w:val="false"/>
                <w:color w:val="000000"/>
                <w:sz w:val="20"/>
                <w:szCs w:val="20"/>
              </w:rPr>
              <w:t xml:space="preserve">87%</w:t>
            </w:r>
          </w:p>
        </w:tc>
        <w:tc>
          <w:tcPr>
            <w:tcW w:type="dxa" w:w="3000"/>
          </w:tcPr>
          <w:p>
            <w:r>
              <w:rPr>
                <w:b w:val="false"/>
                <w:bCs w:val="false"/>
                <w:color w:val="000000"/>
                <w:sz w:val="20"/>
                <w:szCs w:val="20"/>
              </w:rPr>
              <w:t xml:space="preserve">92%</w:t>
            </w:r>
          </w:p>
        </w:tc>
      </w:tr>
      <w:tr>
        <w:tc>
          <w:tcPr>
            <w:tcW w:type="dxa" w:w="3000"/>
          </w:tcPr>
          <w:p>
            <w:r>
              <w:rPr>
                <w:b w:val="false"/>
                <w:bCs w:val="false"/>
                <w:color w:val="000000"/>
                <w:sz w:val="20"/>
                <w:szCs w:val="20"/>
              </w:rPr>
              <w:t xml:space="preserve">ROC-AUC</w:t>
            </w:r>
          </w:p>
        </w:tc>
        <w:tc>
          <w:tcPr>
            <w:tcW w:type="dxa" w:w="3000"/>
          </w:tcPr>
          <w:p>
            <w:r>
              <w:rPr>
                <w:b w:val="false"/>
                <w:bCs w:val="false"/>
                <w:color w:val="000000"/>
                <w:sz w:val="20"/>
                <w:szCs w:val="20"/>
              </w:rPr>
              <w:t xml:space="preserve">0.94</w:t>
            </w:r>
          </w:p>
        </w:tc>
        <w:tc>
          <w:tcPr>
            <w:tcW w:type="dxa" w:w="3000"/>
          </w:tcPr>
          <w:p>
            <w:r>
              <w:rPr>
                <w:b w:val="false"/>
                <w:bCs w:val="false"/>
                <w:color w:val="000000"/>
                <w:sz w:val="20"/>
                <w:szCs w:val="20"/>
              </w:rPr>
              <w:t xml:space="preserve">—</w:t>
            </w:r>
          </w:p>
        </w:tc>
      </w:tr>
      <w:tr>
        <w:tc>
          <w:tcPr>
            <w:tcW w:type="dxa" w:w="3000"/>
          </w:tcPr>
          <w:p>
            <w:r>
              <w:rPr>
                <w:b w:val="false"/>
                <w:bCs w:val="false"/>
                <w:color w:val="000000"/>
                <w:sz w:val="20"/>
                <w:szCs w:val="20"/>
              </w:rPr>
              <w:t xml:space="preserve">Precision (malicious)</w:t>
            </w:r>
          </w:p>
        </w:tc>
        <w:tc>
          <w:tcPr>
            <w:tcW w:type="dxa" w:w="3000"/>
          </w:tcPr>
          <w:p>
            <w:r>
              <w:rPr>
                <w:b w:val="false"/>
                <w:bCs w:val="false"/>
                <w:color w:val="000000"/>
                <w:sz w:val="20"/>
                <w:szCs w:val="20"/>
              </w:rPr>
              <w:t xml:space="preserve">0.87</w:t>
            </w:r>
          </w:p>
        </w:tc>
        <w:tc>
          <w:tcPr>
            <w:tcW w:type="dxa" w:w="3000"/>
          </w:tcPr>
          <w:p>
            <w:r>
              <w:rPr>
                <w:b w:val="false"/>
                <w:bCs w:val="false"/>
                <w:color w:val="000000"/>
                <w:sz w:val="20"/>
                <w:szCs w:val="20"/>
              </w:rPr>
              <w:t xml:space="preserve">0.93</w:t>
            </w:r>
          </w:p>
        </w:tc>
      </w:tr>
      <w:tr>
        <w:tc>
          <w:tcPr>
            <w:tcW w:type="dxa" w:w="3000"/>
          </w:tcPr>
          <w:p>
            <w:r>
              <w:rPr>
                <w:b w:val="false"/>
                <w:bCs w:val="false"/>
                <w:color w:val="000000"/>
                <w:sz w:val="20"/>
                <w:szCs w:val="20"/>
              </w:rPr>
              <w:t xml:space="preserve">Recall (malicious)</w:t>
            </w:r>
          </w:p>
        </w:tc>
        <w:tc>
          <w:tcPr>
            <w:tcW w:type="dxa" w:w="3000"/>
          </w:tcPr>
          <w:p>
            <w:r>
              <w:rPr>
                <w:b w:val="false"/>
                <w:bCs w:val="false"/>
                <w:color w:val="000000"/>
                <w:sz w:val="20"/>
                <w:szCs w:val="20"/>
              </w:rPr>
              <w:t xml:space="preserve">0.87</w:t>
            </w:r>
          </w:p>
        </w:tc>
        <w:tc>
          <w:tcPr>
            <w:tcW w:type="dxa" w:w="3000"/>
          </w:tcPr>
          <w:p>
            <w:r>
              <w:rPr>
                <w:b w:val="false"/>
                <w:bCs w:val="false"/>
                <w:color w:val="000000"/>
                <w:sz w:val="20"/>
                <w:szCs w:val="20"/>
              </w:rPr>
              <w:t xml:space="preserve">0.87</w:t>
            </w:r>
          </w:p>
        </w:tc>
      </w:tr>
    </w:tbl>
    <w:p>
      <w:pPr>
        <w:spacing w:before="200"/>
      </w:pPr>
    </w:p>
    <w:p>
      <w:pPr>
        <w:pStyle w:val="Heading2"/>
        <w:spacing w:after="150" w:before="300"/>
      </w:pPr>
      <w:r>
        <w:t xml:space="preserve">4.2 A Documented Limitation and Its Fix</w:t>
      </w:r>
    </w:p>
    <w:p>
      <w:pPr>
        <w:spacing w:after="160"/>
      </w:pPr>
      <w:r>
        <w:t xml:space="preserve">Manual testing surfaced a genuine model bias: the character n-gram model scored https://www.google.com at 93% malicious confidence. Investigation of the training data showed that, in the sampled subset, malicious URLs containing the substring “goog” (brand-impersonation attempts) outnumbered legitimate Google URLs by more than 2:1 — a real and well-documented pattern in phishing datasets, since attackers disproportionately impersonate popular brands. The character n-gram model correctly learned the statistical pattern present in its training data; the pattern itself was the problem.</w:t>
      </w:r>
    </w:p>
    <w:p>
      <w:pPr>
        <w:spacing w:after="160"/>
      </w:pPr>
      <w:r>
        <w:t xml:space="preserve">This was resolved with a small, curated allowlist (utils/allowlist.py) checked by exact registered-domain match rather than substring — verified with regression tests to confirm it cannot be defeated by a phishing domain merely containing a brand name (e.g. google-account-verify.tk is still correctly classified as malicious after the fix).</w:t>
      </w:r>
    </w:p>
    <w:p>
      <w:pPr>
        <w:pStyle w:val="Heading2"/>
        <w:spacing w:after="150" w:before="300"/>
      </w:pPr>
      <w:r>
        <w:t xml:space="preserve">4.3 Live Data Training and an Ensemble Disagreement Case Study</w:t>
      </w:r>
    </w:p>
    <w:p>
      <w:pPr>
        <w:spacing w:after="160"/>
      </w:pPr>
      <w:r>
        <w:t xml:space="preserve">A second training run used a live-data pipeline built specifically for this project: 10,000 currently-active malicious URLs from URLhaus (abuse.ch, updated every 5 minutes) combined with 10,000 domains from the Tranco top-domains ranking (the academic-standard replacement for the discontinued Alexa Top 1M). This run produced 100% accuracy and a perfect 1.0000 ROC-AUC on its held-out test split — a result that, read at face value, would be a red flag rather than a success. Real-world classifiers essentially never achieve exactly 100% accuracy, and when they do, it typically indicates the classification task was inadvertently made too easy rather than that the model is flawless.</w:t>
      </w:r>
    </w:p>
    <w:p>
      <w:pPr>
        <w:spacing w:after="160"/>
      </w:pPr>
      <w:r>
        <w:t xml:space="preserve">The explanation is a genuine property of the data, not an error: URLhaus's malicious URLs are predominantly raw IP-address-based malware distribution links (e.g. http://219.155.171.170:33935/Mozi.m), while Tranco's benign URLs are exclusively well-formed, established domain names. These two classes are lexically almost trivially separable on features like has_ip_address alone, meaning this particular dataset does not exercise the model against the harder, more ambiguous cases — such as a typosquatted domain with no IP address and no obviously malformed structure — that matter most in practice.</w:t>
      </w:r>
    </w:p>
    <w:p>
      <w:pPr>
        <w:spacing w:after="160"/>
      </w:pPr>
      <w:r>
        <w:t xml:space="preserve">To validate the trained model beyond this easy-mode result, it was tested against http://paypa1-secure-login.tk/verify-account, a hand-constructed typosquat with no IP address and no unusual port, deliberately outside the pattern the training data emphasized. The result was informative beyond a simple pass/fail: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5B7CFA" w:val="clear"/>
          </w:tcPr>
          <w:p>
            <w:r>
              <w:rPr>
                <w:b/>
                <w:bCs/>
                <w:color w:val="FFFFFF"/>
                <w:sz w:val="20"/>
                <w:szCs w:val="20"/>
              </w:rPr>
              <w:t xml:space="preserve">Component</w:t>
            </w:r>
          </w:p>
        </w:tc>
        <w:tc>
          <w:tcPr>
            <w:tcW w:type="dxa" w:w="3000"/>
            <w:shd w:fill="5B7CFA" w:val="clear"/>
          </w:tcPr>
          <w:p>
            <w:r>
              <w:rPr>
                <w:b/>
                <w:bCs/>
                <w:color w:val="FFFFFF"/>
                <w:sz w:val="20"/>
                <w:szCs w:val="20"/>
              </w:rPr>
              <w:t xml:space="preserve">Score</w:t>
            </w:r>
          </w:p>
        </w:tc>
        <w:tc>
          <w:tcPr>
            <w:tcW w:type="dxa" w:w="3000"/>
            <w:shd w:fill="5B7CFA" w:val="clear"/>
          </w:tcPr>
          <w:p>
            <w:r>
              <w:rPr>
                <w:b/>
                <w:bCs/>
                <w:color w:val="FFFFFF"/>
                <w:sz w:val="20"/>
                <w:szCs w:val="20"/>
              </w:rPr>
              <w:t xml:space="preserve">Interpretation</w:t>
            </w:r>
          </w:p>
        </w:tc>
      </w:tr>
      <w:tr>
        <w:tc>
          <w:tcPr>
            <w:tcW w:type="dxa" w:w="3000"/>
          </w:tcPr>
          <w:p>
            <w:r>
              <w:rPr>
                <w:b w:val="false"/>
                <w:bCs w:val="false"/>
                <w:color w:val="000000"/>
                <w:sz w:val="20"/>
                <w:szCs w:val="20"/>
              </w:rPr>
              <w:t xml:space="preserve">Random Forest (engineered features)</w:t>
            </w:r>
          </w:p>
        </w:tc>
        <w:tc>
          <w:tcPr>
            <w:tcW w:type="dxa" w:w="3000"/>
          </w:tcPr>
          <w:p>
            <w:r>
              <w:rPr>
                <w:b w:val="false"/>
                <w:bCs w:val="false"/>
                <w:color w:val="000000"/>
                <w:sz w:val="20"/>
                <w:szCs w:val="20"/>
              </w:rPr>
              <w:t xml:space="preserve">95.3% malicious</w:t>
            </w:r>
          </w:p>
        </w:tc>
        <w:tc>
          <w:tcPr>
            <w:tcW w:type="dxa" w:w="3000"/>
          </w:tcPr>
          <w:p>
            <w:r>
              <w:rPr>
                <w:b w:val="false"/>
                <w:bCs w:val="false"/>
                <w:color w:val="000000"/>
                <w:sz w:val="20"/>
                <w:szCs w:val="20"/>
              </w:rPr>
              <w:t xml:space="preserve">Correctly confident — driven by absent SSL validity and lexical structure, not by having seen similar exact URLs before</w:t>
            </w:r>
          </w:p>
        </w:tc>
      </w:tr>
      <w:tr>
        <w:tc>
          <w:tcPr>
            <w:tcW w:type="dxa" w:w="3000"/>
          </w:tcPr>
          <w:p>
            <w:r>
              <w:rPr>
                <w:b w:val="false"/>
                <w:bCs w:val="false"/>
                <w:color w:val="000000"/>
                <w:sz w:val="20"/>
                <w:szCs w:val="20"/>
              </w:rPr>
              <w:t xml:space="preserve">Character n-gram model</w:t>
            </w:r>
          </w:p>
        </w:tc>
        <w:tc>
          <w:tcPr>
            <w:tcW w:type="dxa" w:w="3000"/>
          </w:tcPr>
          <w:p>
            <w:r>
              <w:rPr>
                <w:b w:val="false"/>
                <w:bCs w:val="false"/>
                <w:color w:val="000000"/>
                <w:sz w:val="20"/>
                <w:szCs w:val="20"/>
              </w:rPr>
              <w:t xml:space="preserve">38.4% malicious</w:t>
            </w:r>
          </w:p>
        </w:tc>
        <w:tc>
          <w:tcPr>
            <w:tcW w:type="dxa" w:w="3000"/>
          </w:tcPr>
          <w:p>
            <w:r>
              <w:rPr>
                <w:b w:val="false"/>
                <w:bCs w:val="false"/>
                <w:color w:val="000000"/>
                <w:sz w:val="20"/>
                <w:szCs w:val="20"/>
              </w:rPr>
              <w:t xml:space="preserve">Leaned benign — this URL pattern (hyphenated typosquat, no IP) was underrepresented in URLhaus's largely IP-based malicious training examples</w:t>
            </w:r>
          </w:p>
        </w:tc>
      </w:tr>
      <w:tr>
        <w:tc>
          <w:tcPr>
            <w:tcW w:type="dxa" w:w="3000"/>
          </w:tcPr>
          <w:p>
            <w:r>
              <w:rPr>
                <w:b w:val="false"/>
                <w:bCs w:val="false"/>
                <w:color w:val="000000"/>
                <w:sz w:val="20"/>
                <w:szCs w:val="20"/>
              </w:rPr>
              <w:t xml:space="preserve">Ensemble (65/35 weighted)</w:t>
            </w:r>
          </w:p>
        </w:tc>
        <w:tc>
          <w:tcPr>
            <w:tcW w:type="dxa" w:w="3000"/>
          </w:tcPr>
          <w:p>
            <w:r>
              <w:rPr>
                <w:b w:val="false"/>
                <w:bCs w:val="false"/>
                <w:color w:val="000000"/>
                <w:sz w:val="20"/>
                <w:szCs w:val="20"/>
              </w:rPr>
              <w:t xml:space="preserve">75.4% malicious — correctly “malicious”</w:t>
            </w:r>
          </w:p>
        </w:tc>
        <w:tc>
          <w:tcPr>
            <w:tcW w:type="dxa" w:w="3000"/>
          </w:tcPr>
          <w:p>
            <w:r>
              <w:rPr>
                <w:b w:val="false"/>
                <w:bCs w:val="false"/>
                <w:color w:val="000000"/>
                <w:sz w:val="20"/>
                <w:szCs w:val="20"/>
              </w:rPr>
              <w:t xml:space="preserve">The stronger, better-grounded signal correctly outweighed the weaker one</w:t>
            </w:r>
          </w:p>
        </w:tc>
      </w:tr>
    </w:tbl>
    <w:p>
      <w:pPr>
        <w:spacing w:before="200"/>
      </w:pPr>
    </w:p>
    <w:p>
      <w:pPr>
        <w:spacing w:after="160"/>
      </w:pPr>
      <w:r>
        <w:t xml:space="preserve">This divergence is a concrete demonstration of why the two models were ensembled rather than relying on either alone: they are trained on the same URLs but represent the problem differently (hand-engineered domain/SSL/lexical features versus raw character patterns), giving them different blind spots. A single model's blind spot on an underrepresented pattern is exactly the failure mode a second, structurally different model is positioned to catch — which is what occurred here, correctly, on a case constructed specifically to be difficult.</w:t>
      </w:r>
    </w:p>
    <w:p>
      <w:pPr>
        <w:pStyle w:val="Heading2"/>
        <w:spacing w:after="150" w:before="300"/>
      </w:pPr>
      <w:r>
        <w:t xml:space="preserve">4.4 Real-Time Performance</w:t>
      </w:r>
    </w:p>
    <w:p>
      <w:pPr>
        <w:spacing w:after="160"/>
      </w:pPr>
      <w:r>
        <w:t xml:space="preserve">The fast scan path (Random Forest + character n-gram inference, no network calls) returns in well under one second. Background deep-scan verification (WHOIS, SSL, external APIs) completes within a few seconds and pushes an updated verdict over WebSocket without requiring the client to poll or re-request.</w:t>
      </w:r>
    </w:p>
    <w:p>
      <w:pPr>
        <w:pStyle w:val="Heading2"/>
        <w:spacing w:after="150" w:before="300"/>
      </w:pPr>
      <w:r>
        <w:t xml:space="preserve">4.5 Limitations</w:t>
      </w:r>
    </w:p>
    <w:p>
      <w:pPr>
        <w:pStyle w:val="ListParagraph"/>
        <w:numPr>
          <w:ilvl w:val="0"/>
          <w:numId w:val="1"/>
        </w:numPr>
        <w:spacing w:after="80"/>
      </w:pPr>
      <w:r>
        <w:t xml:space="preserve">SQLite under concurrent writes from the API and the background worker can contend under heavy load; a production deployment would use PostgreSQL.</w:t>
      </w:r>
    </w:p>
    <w:p>
      <w:pPr>
        <w:pStyle w:val="ListParagraph"/>
        <w:numPr>
          <w:ilvl w:val="0"/>
          <w:numId w:val="1"/>
        </w:numPr>
        <w:spacing w:after="80"/>
      </w:pPr>
      <w:r>
        <w:t xml:space="preserve">The training dataset's malicious label is binary (phishing, malware, and spam combined), not phishing-specific.</w:t>
      </w:r>
    </w:p>
    <w:p>
      <w:pPr>
        <w:pStyle w:val="ListParagraph"/>
        <w:numPr>
          <w:ilvl w:val="0"/>
          <w:numId w:val="1"/>
        </w:numPr>
        <w:spacing w:after="80"/>
      </w:pPr>
      <w:r>
        <w:t xml:space="preserve">The character n-gram model is a lightweight classical model, not a deep neural network, chosen deliberately to avoid heavy/fragile dependencies (see 3.6).</w:t>
      </w:r>
    </w:p>
    <w:p>
      <w:pPr>
        <w:pStyle w:val="ListParagraph"/>
        <w:numPr>
          <w:ilvl w:val="0"/>
          <w:numId w:val="1"/>
        </w:numPr>
        <w:spacing w:after="80"/>
      </w:pPr>
      <w:r>
        <w:t xml:space="preserve">External threat-intelligence cross-checks (VirusTotal, Safe Browsing) are inactive without user-supplied API keys.</w:t>
      </w:r>
    </w:p>
    <w:p>
      <w:pPr>
        <w:pStyle w:val="Heading2"/>
        <w:spacing w:after="150" w:before="300"/>
      </w:pPr>
      <w:r>
        <w:t xml:space="preserve">4.6 Future Work</w:t>
      </w:r>
    </w:p>
    <w:p>
      <w:pPr>
        <w:pStyle w:val="ListParagraph"/>
        <w:numPr>
          <w:ilvl w:val="0"/>
          <w:numId w:val="1"/>
        </w:numPr>
        <w:spacing w:after="80"/>
      </w:pPr>
      <w:r>
        <w:t xml:space="preserve">Perceptual-hash based visual brand-impersonation detection (comparing rendered page screenshots against known login pages).</w:t>
      </w:r>
    </w:p>
    <w:p>
      <w:pPr>
        <w:pStyle w:val="ListParagraph"/>
        <w:numPr>
          <w:ilvl w:val="0"/>
          <w:numId w:val="1"/>
        </w:numPr>
        <w:spacing w:after="80"/>
      </w:pPr>
      <w:r>
        <w:t xml:space="preserve">A distilled, on-device (TensorFlow.js) model for offline first-pass scoring in the extension.</w:t>
      </w:r>
    </w:p>
    <w:p>
      <w:pPr>
        <w:pStyle w:val="ListParagraph"/>
        <w:numPr>
          <w:ilvl w:val="0"/>
          <w:numId w:val="1"/>
        </w:numPr>
        <w:spacing w:after="80"/>
      </w:pPr>
      <w:r>
        <w:t xml:space="preserve">Migration to PostgreSQL and containerized production deployment.</w:t>
      </w:r>
    </w:p>
    <w:p>
      <w:pPr>
        <w:pStyle w:val="ListParagraph"/>
        <w:numPr>
          <w:ilvl w:val="0"/>
          <w:numId w:val="1"/>
        </w:numPr>
        <w:spacing w:after="80"/>
      </w:pPr>
      <w:r>
        <w:t xml:space="preserve">Expansion of the training dataset with more recent (post-2020) labeled phishing data.</w:t>
      </w:r>
    </w:p>
    <w:p>
      <w:pPr>
        <w:pStyle w:val="Heading2"/>
        <w:spacing w:after="150" w:before="300"/>
      </w:pPr>
      <w:r>
        <w:t xml:space="preserve">4.7 Conclusion</w:t>
      </w:r>
    </w:p>
    <w:p>
      <w:pPr>
        <w:spacing w:after="160"/>
      </w:pPr>
      <w:r>
        <w:t xml:space="preserve">Shadow Agent Pro demonstrates that a combination of classical ML techniques — engineered features, character-level text modeling, and ensemble fusion with external threat intelligence — can deliver real-time, explainable malware and phishing detection without the deployment fragility of heavy deep-learning dependencies. Equally important, the project's development process surfaced and honestly addressed a real model-bias failure mode, illustrating why testing against real-world inputs and understanding the data a model is trained on matters as much as model architecture itself.</w:t>
      </w:r>
    </w:p>
    <w:p>
      <w:pPr>
        <w:sectPr>
          <w:pgSz w:w="12240" w:h="15840" w:orient="portrait"/>
          <w:pgMar w:top="1440" w:right="1440" w:bottom="1440" w:left="1440" w:header="708" w:footer="708" w:gutter="0"/>
          <w:pgNumType/>
          <w:docGrid w:linePitch="360"/>
        </w:sectPr>
      </w:pPr>
    </w:p>
    <w:p>
      <w:pPr>
        <w:pStyle w:val="Heading1"/>
        <w:spacing w:after="200" w:before="400"/>
      </w:pPr>
      <w:r>
        <w:t xml:space="preserve">Appendix A: Key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5B7CFA" w:val="clear"/>
          </w:tcPr>
          <w:p>
            <w:r>
              <w:rPr>
                <w:b/>
                <w:bCs/>
                <w:color w:val="FFFFFF"/>
                <w:sz w:val="20"/>
                <w:szCs w:val="20"/>
              </w:rPr>
              <w:t xml:space="preserve">Method</w:t>
            </w:r>
          </w:p>
        </w:tc>
        <w:tc>
          <w:tcPr>
            <w:tcW w:type="dxa" w:w="3000"/>
            <w:shd w:fill="5B7CFA" w:val="clear"/>
          </w:tcPr>
          <w:p>
            <w:r>
              <w:rPr>
                <w:b/>
                <w:bCs/>
                <w:color w:val="FFFFFF"/>
                <w:sz w:val="20"/>
                <w:szCs w:val="20"/>
              </w:rPr>
              <w:t xml:space="preserve">Endpoint</w:t>
            </w:r>
          </w:p>
        </w:tc>
        <w:tc>
          <w:tcPr>
            <w:tcW w:type="dxa" w:w="3000"/>
            <w:shd w:fill="5B7CFA" w:val="clear"/>
          </w:tcPr>
          <w:p>
            <w:r>
              <w:rPr>
                <w:b/>
                <w:bCs/>
                <w:color w:val="FFFFFF"/>
                <w:sz w:val="20"/>
                <w:szCs w:val="20"/>
              </w:rPr>
              <w:t xml:space="preserve">Description</w:t>
            </w:r>
          </w:p>
        </w:tc>
      </w:tr>
      <w:tr>
        <w:tc>
          <w:tcPr>
            <w:tcW w:type="dxa" w:w="3000"/>
          </w:tcPr>
          <w:p>
            <w:r>
              <w:rPr>
                <w:b w:val="false"/>
                <w:bCs w:val="false"/>
                <w:color w:val="000000"/>
                <w:sz w:val="20"/>
                <w:szCs w:val="20"/>
              </w:rPr>
              <w:t xml:space="preserve">POST</w:t>
            </w:r>
          </w:p>
        </w:tc>
        <w:tc>
          <w:tcPr>
            <w:tcW w:type="dxa" w:w="3000"/>
          </w:tcPr>
          <w:p>
            <w:r>
              <w:rPr>
                <w:b w:val="false"/>
                <w:bCs w:val="false"/>
                <w:color w:val="000000"/>
                <w:sz w:val="20"/>
                <w:szCs w:val="20"/>
              </w:rPr>
              <w:t xml:space="preserve">/api/scan/url</w:t>
            </w:r>
          </w:p>
        </w:tc>
        <w:tc>
          <w:tcPr>
            <w:tcW w:type="dxa" w:w="3000"/>
          </w:tcPr>
          <w:p>
            <w:r>
              <w:rPr>
                <w:b w:val="false"/>
                <w:bCs w:val="false"/>
                <w:color w:val="000000"/>
                <w:sz w:val="20"/>
                <w:szCs w:val="20"/>
              </w:rPr>
              <w:t xml:space="preserve">Fast ensemble verdict; queues background deep scan</w:t>
            </w:r>
          </w:p>
        </w:tc>
      </w:tr>
      <w:tr>
        <w:tc>
          <w:tcPr>
            <w:tcW w:type="dxa" w:w="3000"/>
          </w:tcPr>
          <w:p>
            <w:r>
              <w:rPr>
                <w:b w:val="false"/>
                <w:bCs w:val="false"/>
                <w:color w:val="000000"/>
                <w:sz w:val="20"/>
                <w:szCs w:val="20"/>
              </w:rPr>
              <w:t xml:space="preserve">GET</w:t>
            </w:r>
          </w:p>
        </w:tc>
        <w:tc>
          <w:tcPr>
            <w:tcW w:type="dxa" w:w="3000"/>
          </w:tcPr>
          <w:p>
            <w:r>
              <w:rPr>
                <w:b w:val="false"/>
                <w:bCs w:val="false"/>
                <w:color w:val="000000"/>
                <w:sz w:val="20"/>
                <w:szCs w:val="20"/>
              </w:rPr>
              <w:t xml:space="preserve">/api/threats</w:t>
            </w:r>
          </w:p>
        </w:tc>
        <w:tc>
          <w:tcPr>
            <w:tcW w:type="dxa" w:w="3000"/>
          </w:tcPr>
          <w:p>
            <w:r>
              <w:rPr>
                <w:b w:val="false"/>
                <w:bCs w:val="false"/>
                <w:color w:val="000000"/>
                <w:sz w:val="20"/>
                <w:szCs w:val="20"/>
              </w:rPr>
              <w:t xml:space="preserve">List recent threats</w:t>
            </w:r>
          </w:p>
        </w:tc>
      </w:tr>
      <w:tr>
        <w:tc>
          <w:tcPr>
            <w:tcW w:type="dxa" w:w="3000"/>
          </w:tcPr>
          <w:p>
            <w:r>
              <w:rPr>
                <w:b w:val="false"/>
                <w:bCs w:val="false"/>
                <w:color w:val="000000"/>
                <w:sz w:val="20"/>
                <w:szCs w:val="20"/>
              </w:rPr>
              <w:t xml:space="preserve">GET</w:t>
            </w:r>
          </w:p>
        </w:tc>
        <w:tc>
          <w:tcPr>
            <w:tcW w:type="dxa" w:w="3000"/>
          </w:tcPr>
          <w:p>
            <w:r>
              <w:rPr>
                <w:b w:val="false"/>
                <w:bCs w:val="false"/>
                <w:color w:val="000000"/>
                <w:sz w:val="20"/>
                <w:szCs w:val="20"/>
              </w:rPr>
              <w:t xml:space="preserve">/api/stats</w:t>
            </w:r>
          </w:p>
        </w:tc>
        <w:tc>
          <w:tcPr>
            <w:tcW w:type="dxa" w:w="3000"/>
          </w:tcPr>
          <w:p>
            <w:r>
              <w:rPr>
                <w:b w:val="false"/>
                <w:bCs w:val="false"/>
                <w:color w:val="000000"/>
                <w:sz w:val="20"/>
                <w:szCs w:val="20"/>
              </w:rPr>
              <w:t xml:space="preserve">Aggregate statistics</w:t>
            </w:r>
          </w:p>
        </w:tc>
      </w:tr>
      <w:tr>
        <w:tc>
          <w:tcPr>
            <w:tcW w:type="dxa" w:w="3000"/>
          </w:tcPr>
          <w:p>
            <w:r>
              <w:rPr>
                <w:b w:val="false"/>
                <w:bCs w:val="false"/>
                <w:color w:val="000000"/>
                <w:sz w:val="20"/>
                <w:szCs w:val="20"/>
              </w:rPr>
              <w:t xml:space="preserve">GET</w:t>
            </w:r>
          </w:p>
        </w:tc>
        <w:tc>
          <w:tcPr>
            <w:tcW w:type="dxa" w:w="3000"/>
          </w:tcPr>
          <w:p>
            <w:r>
              <w:rPr>
                <w:b w:val="false"/>
                <w:bCs w:val="false"/>
                <w:color w:val="000000"/>
                <w:sz w:val="20"/>
                <w:szCs w:val="20"/>
              </w:rPr>
              <w:t xml:space="preserve">/api/status</w:t>
            </w:r>
          </w:p>
        </w:tc>
        <w:tc>
          <w:tcPr>
            <w:tcW w:type="dxa" w:w="3000"/>
          </w:tcPr>
          <w:p>
            <w:r>
              <w:rPr>
                <w:b w:val="false"/>
                <w:bCs w:val="false"/>
                <w:color w:val="000000"/>
                <w:sz w:val="20"/>
                <w:szCs w:val="20"/>
              </w:rPr>
              <w:t xml:space="preserve">Full system health check</w:t>
            </w:r>
          </w:p>
        </w:tc>
      </w:tr>
      <w:tr>
        <w:tc>
          <w:tcPr>
            <w:tcW w:type="dxa" w:w="3000"/>
          </w:tcPr>
          <w:p>
            <w:r>
              <w:rPr>
                <w:b w:val="false"/>
                <w:bCs w:val="false"/>
                <w:color w:val="000000"/>
                <w:sz w:val="20"/>
                <w:szCs w:val="20"/>
              </w:rPr>
              <w:t xml:space="preserve">GET</w:t>
            </w:r>
          </w:p>
        </w:tc>
        <w:tc>
          <w:tcPr>
            <w:tcW w:type="dxa" w:w="3000"/>
          </w:tcPr>
          <w:p>
            <w:r>
              <w:rPr>
                <w:b w:val="false"/>
                <w:bCs w:val="false"/>
                <w:color w:val="000000"/>
                <w:sz w:val="20"/>
                <w:szCs w:val="20"/>
              </w:rPr>
              <w:t xml:space="preserve">/api/metrics</w:t>
            </w:r>
          </w:p>
        </w:tc>
        <w:tc>
          <w:tcPr>
            <w:tcW w:type="dxa" w:w="3000"/>
          </w:tcPr>
          <w:p>
            <w:r>
              <w:rPr>
                <w:b w:val="false"/>
                <w:bCs w:val="false"/>
                <w:color w:val="000000"/>
                <w:sz w:val="20"/>
                <w:szCs w:val="20"/>
              </w:rPr>
              <w:t xml:space="preserve">Live operational metrics (requests/min, latency)</w:t>
            </w:r>
          </w:p>
        </w:tc>
      </w:tr>
      <w:tr>
        <w:tc>
          <w:tcPr>
            <w:tcW w:type="dxa" w:w="3000"/>
          </w:tcPr>
          <w:p>
            <w:r>
              <w:rPr>
                <w:b w:val="false"/>
                <w:bCs w:val="false"/>
                <w:color w:val="000000"/>
                <w:sz w:val="20"/>
                <w:szCs w:val="20"/>
              </w:rPr>
              <w:t xml:space="preserve">GET</w:t>
            </w:r>
          </w:p>
        </w:tc>
        <w:tc>
          <w:tcPr>
            <w:tcW w:type="dxa" w:w="3000"/>
          </w:tcPr>
          <w:p>
            <w:r>
              <w:rPr>
                <w:b w:val="false"/>
                <w:bCs w:val="false"/>
                <w:color w:val="000000"/>
                <w:sz w:val="20"/>
                <w:szCs w:val="20"/>
              </w:rPr>
              <w:t xml:space="preserve">/api/model/version</w:t>
            </w:r>
          </w:p>
        </w:tc>
        <w:tc>
          <w:tcPr>
            <w:tcW w:type="dxa" w:w="3000"/>
          </w:tcPr>
          <w:p>
            <w:r>
              <w:rPr>
                <w:b w:val="false"/>
                <w:bCs w:val="false"/>
                <w:color w:val="000000"/>
                <w:sz w:val="20"/>
                <w:szCs w:val="20"/>
              </w:rPr>
              <w:t xml:space="preserve">Trained model metadata</w:t>
            </w:r>
          </w:p>
        </w:tc>
      </w:tr>
      <w:tr>
        <w:tc>
          <w:tcPr>
            <w:tcW w:type="dxa" w:w="3000"/>
          </w:tcPr>
          <w:p>
            <w:r>
              <w:rPr>
                <w:b w:val="false"/>
                <w:bCs w:val="false"/>
                <w:color w:val="000000"/>
                <w:sz w:val="20"/>
                <w:szCs w:val="20"/>
              </w:rPr>
              <w:t xml:space="preserve">GET</w:t>
            </w:r>
          </w:p>
        </w:tc>
        <w:tc>
          <w:tcPr>
            <w:tcW w:type="dxa" w:w="3000"/>
          </w:tcPr>
          <w:p>
            <w:r>
              <w:rPr>
                <w:b w:val="false"/>
                <w:bCs w:val="false"/>
                <w:color w:val="000000"/>
                <w:sz w:val="20"/>
                <w:szCs w:val="20"/>
              </w:rPr>
              <w:t xml:space="preserve">/api/model/drift</w:t>
            </w:r>
          </w:p>
        </w:tc>
        <w:tc>
          <w:tcPr>
            <w:tcW w:type="dxa" w:w="3000"/>
          </w:tcPr>
          <w:p>
            <w:r>
              <w:rPr>
                <w:b w:val="false"/>
                <w:bCs w:val="false"/>
                <w:color w:val="000000"/>
                <w:sz w:val="20"/>
                <w:szCs w:val="20"/>
              </w:rPr>
              <w:t xml:space="preserve">Drift vs. training baseline</w:t>
            </w:r>
          </w:p>
        </w:tc>
      </w:tr>
      <w:tr>
        <w:tc>
          <w:tcPr>
            <w:tcW w:type="dxa" w:w="3000"/>
          </w:tcPr>
          <w:p>
            <w:r>
              <w:rPr>
                <w:b w:val="false"/>
                <w:bCs w:val="false"/>
                <w:color w:val="000000"/>
                <w:sz w:val="20"/>
                <w:szCs w:val="20"/>
              </w:rPr>
              <w:t xml:space="preserve">GET</w:t>
            </w:r>
          </w:p>
        </w:tc>
        <w:tc>
          <w:tcPr>
            <w:tcW w:type="dxa" w:w="3000"/>
          </w:tcPr>
          <w:p>
            <w:r>
              <w:rPr>
                <w:b w:val="false"/>
                <w:bCs w:val="false"/>
                <w:color w:val="000000"/>
                <w:sz w:val="20"/>
                <w:szCs w:val="20"/>
              </w:rPr>
              <w:t xml:space="preserve">/api/model/feature-importance</w:t>
            </w:r>
          </w:p>
        </w:tc>
        <w:tc>
          <w:tcPr>
            <w:tcW w:type="dxa" w:w="3000"/>
          </w:tcPr>
          <w:p>
            <w:r>
              <w:rPr>
                <w:b w:val="false"/>
                <w:bCs w:val="false"/>
                <w:color w:val="000000"/>
                <w:sz w:val="20"/>
                <w:szCs w:val="20"/>
              </w:rPr>
              <w:t xml:space="preserve">Random Forest feature importances</w:t>
            </w:r>
          </w:p>
        </w:tc>
      </w:tr>
    </w:tbl>
    <w:p>
      <w:pPr>
        <w:spacing w:before="300"/>
      </w:pPr>
    </w:p>
    <w:p>
      <w:pPr>
        <w:pStyle w:val="Heading1"/>
        <w:spacing w:after="200" w:before="400"/>
      </w:pPr>
      <w:r>
        <w:t xml:space="preserve">Appendix B: Sample Feature Extraction Output</w:t>
      </w:r>
    </w:p>
    <w:p>
      <w:pPr>
        <w:spacing w:after="160"/>
      </w:pPr>
      <w:r>
        <w:t xml:space="preserve">Representative output of ml/feature_extraction.py for a typosquatted URL:</w:t>
      </w:r>
    </w:p>
    <w:p>
      <w:pPr>
        <w:shd w:fill="F2F2F2" w:val="clear"/>
        <w:spacing w:after="40"/>
      </w:pPr>
      <w:r>
        <w:rPr>
          <w:rFonts w:ascii="Consolas" w:cs="Consolas" w:eastAsia="Consolas" w:hAnsi="Consolas"/>
          <w:sz w:val="18"/>
          <w:szCs w:val="18"/>
        </w:rPr>
        <w:t xml:space="preserve">{</w:t>
      </w:r>
    </w:p>
    <w:p>
      <w:pPr>
        <w:shd w:fill="F2F2F2" w:val="clear"/>
        <w:spacing w:after="40"/>
      </w:pPr>
      <w:r>
        <w:rPr>
          <w:rFonts w:ascii="Consolas" w:cs="Consolas" w:eastAsia="Consolas" w:hAnsi="Consolas"/>
          <w:sz w:val="18"/>
          <w:szCs w:val="18"/>
        </w:rPr>
        <w:t xml:space="preserve">  "url_length": 45, "has_ip_address": false,</w:t>
      </w:r>
    </w:p>
    <w:p>
      <w:pPr>
        <w:shd w:fill="F2F2F2" w:val="clear"/>
        <w:spacing w:after="40"/>
      </w:pPr>
      <w:r>
        <w:rPr>
          <w:rFonts w:ascii="Consolas" w:cs="Consolas" w:eastAsia="Consolas" w:hAnsi="Consolas"/>
          <w:sz w:val="18"/>
          <w:szCs w:val="18"/>
        </w:rPr>
        <w:t xml:space="preserve">  "is_shortener": false, "uses_https": false,</w:t>
      </w:r>
    </w:p>
    <w:p>
      <w:pPr>
        <w:shd w:fill="F2F2F2" w:val="clear"/>
        <w:spacing w:after="40"/>
      </w:pPr>
      <w:r>
        <w:rPr>
          <w:rFonts w:ascii="Consolas" w:cs="Consolas" w:eastAsia="Consolas" w:hAnsi="Consolas"/>
          <w:sz w:val="18"/>
          <w:szCs w:val="18"/>
        </w:rPr>
        <w:t xml:space="preserve">  "brand_in_subdomain_not_domain": false,</w:t>
      </w:r>
    </w:p>
    <w:p>
      <w:pPr>
        <w:shd w:fill="F2F2F2" w:val="clear"/>
        <w:spacing w:after="40"/>
      </w:pPr>
      <w:r>
        <w:rPr>
          <w:rFonts w:ascii="Consolas" w:cs="Consolas" w:eastAsia="Consolas" w:hAnsi="Consolas"/>
          <w:sz w:val="18"/>
          <w:szCs w:val="18"/>
        </w:rPr>
        <w:t xml:space="preserve">  "domain_is_new": false, "has_valid_ssl": false, ...</w:t>
      </w:r>
    </w:p>
    <w:p>
      <w:pPr>
        <w:shd w:fill="F2F2F2" w:val="clear"/>
        <w:spacing w:after="40"/>
      </w:pPr>
      <w:r>
        <w:rPr>
          <w:rFonts w:ascii="Consolas" w:cs="Consolas" w:eastAsia="Consolas" w:hAnsi="Consolas"/>
          <w:sz w:val="18"/>
          <w:szCs w:val="18"/>
        </w:rPr>
        <w:t xml:space="preserve">}</w:t>
      </w:r>
    </w:p>
    <w:p>
      <w:pPr>
        <w:spacing w:before="300"/>
      </w:pPr>
    </w:p>
    <w:p>
      <w:pPr>
        <w:spacing w:after="160"/>
      </w:pPr>
      <w:r>
        <w:t xml:space="preserve">Full source code is provided in the accompanying project repository (shadow-agent-pro/), organized as documented in the README.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2026-08-10T03:41:32.015Z</dcterms:created>
  <dcterms:modified xsi:type="dcterms:W3CDTF">2026-08-10T03:41:32.028Z</dcterms:modified>
</cp:coreProperties>
</file>

<file path=docProps/custom.xml><?xml version="1.0" encoding="utf-8"?>
<Properties xmlns="http://schemas.openxmlformats.org/officeDocument/2006/custom-properties" xmlns:vt="http://schemas.openxmlformats.org/officeDocument/2006/docPropsVTypes"/>
</file>