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4"/>
          <w:szCs w:val="34"/>
        </w:rPr>
        <w:t xml:space="preserve">Activity 4: NLP Case Study Analysis</w:t>
      </w:r>
    </w:p>
    <w:p>
      <w:pPr>
        <w:spacing w:after="60"/>
        <w:jc w:val="center"/>
      </w:pPr>
      <w:r>
        <w:rPr>
          <w:b/>
          <w:bCs/>
        </w:rPr>
        <w:t xml:space="preserve">Title of the Project: </w:t>
      </w:r>
      <w:r>
        <w:rPr>
          <w:b/>
          <w:bCs/>
        </w:rPr>
        <w:t xml:space="preserve">CampusNLP — An Intelligent NLP-Based University Student Query Understanding and Knowledge Retrieval System</w:t>
      </w:r>
    </w:p>
    <w:p>
      <w:pPr>
        <w:spacing w:after="200"/>
        <w:jc w:val="center"/>
      </w:pPr>
      <w:r>
        <w:rPr>
          <w:i/>
          <w:iCs/>
          <w:color w:val="444444"/>
          <w:sz w:val="18"/>
          <w:szCs w:val="18"/>
        </w:rPr>
        <w:t xml:space="preserve">A hybrid, offline-first intent-classification and evidence-grounded retrieval pipeline (FastAPI + React)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A6A6A6" w:sz="4"/>
              <w:left w:val="single" w:color="A6A6A6" w:sz="4"/>
              <w:bottom w:val="single" w:color="A6A6A6" w:sz="4"/>
              <w:right w:val="single" w:color="A6A6A6" w:sz="4"/>
            </w:tcBorders>
            <w:shd w:fill="1F3864" w:color="auto" w:val="clear"/>
            <w:tcMar>
              <w:top w:type="dxa" w:w="60"/>
              <w:left w:type="dxa" w:w="110"/>
              <w:bottom w:type="dxa" w:w="60"/>
              <w:right w:type="dxa" w:w="110"/>
            </w:tcMar>
          </w:tcPr>
          <w:p>
            <w:pPr>
              <w:spacing w:after="0"/>
            </w:pPr>
            <w:r>
              <w:rPr>
                <w:b/>
                <w:bCs/>
                <w:color w:val="FFFFFF"/>
              </w:rPr>
              <w:t xml:space="preserve">Contents</w:t>
            </w:r>
          </w:p>
        </w:tc>
        <w:tc>
          <w:tcPr>
            <w:tcW w:type="dxa" w:w="5426"/>
            <w:tcBorders>
              <w:top w:val="single" w:color="A6A6A6" w:sz="4"/>
              <w:left w:val="single" w:color="A6A6A6" w:sz="4"/>
              <w:bottom w:val="single" w:color="A6A6A6" w:sz="4"/>
              <w:right w:val="single" w:color="A6A6A6" w:sz="4"/>
            </w:tcBorders>
            <w:shd w:fill="1F3864" w:color="auto" w:val="clear"/>
            <w:tcMar>
              <w:top w:type="dxa" w:w="60"/>
              <w:left w:type="dxa" w:w="110"/>
              <w:bottom w:type="dxa" w:w="60"/>
              <w:right w:type="dxa" w:w="110"/>
            </w:tcMar>
          </w:tcPr>
          <w:p>
            <w:pPr>
              <w:spacing w:after="0"/>
            </w:pPr>
            <w:r>
              <w:rPr>
                <w:b/>
                <w:bCs/>
                <w:color w:val="FFFFFF"/>
              </w:rPr>
              <w:t xml:space="preserve">Description</w:t>
            </w:r>
          </w:p>
        </w:tc>
      </w:tr>
      <w:tr>
        <w:tc>
          <w:tcPr>
            <w:tcW w:type="dxa" w:w="36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1. Case Study &amp; Problem Definition</w:t>
            </w:r>
          </w:p>
        </w:tc>
        <w:tc>
          <w:tcPr>
            <w:tcW w:type="dxa" w:w="54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Problem background &amp; NLP necessity</w:t>
            </w:r>
          </w:p>
        </w:tc>
      </w:tr>
      <w:tr>
        <w:tc>
          <w:tcPr>
            <w:tcW w:type="dxa" w:w="36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2. Dataset / Text Source</w:t>
            </w:r>
          </w:p>
        </w:tc>
        <w:tc>
          <w:tcPr>
            <w:tcW w:type="dxa" w:w="54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Text type, sources, &amp; dataset size</w:t>
            </w:r>
          </w:p>
        </w:tc>
      </w:tr>
      <w:tr>
        <w:tc>
          <w:tcPr>
            <w:tcW w:type="dxa" w:w="36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3. NLP Pipeline</w:t>
            </w:r>
          </w:p>
        </w:tc>
        <w:tc>
          <w:tcPr>
            <w:tcW w:type="dxa" w:w="54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Preprocessing, representation, retrieval &amp; grounding workflow</w:t>
            </w:r>
          </w:p>
        </w:tc>
      </w:tr>
      <w:tr>
        <w:tc>
          <w:tcPr>
            <w:tcW w:type="dxa" w:w="36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4. NLP Techniques Used</w:t>
            </w:r>
          </w:p>
        </w:tc>
        <w:tc>
          <w:tcPr>
            <w:tcW w:type="dxa" w:w="54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Tokenization, TF-IDF, classification, retrieval &amp; entities</w:t>
            </w:r>
          </w:p>
        </w:tc>
      </w:tr>
      <w:tr>
        <w:tc>
          <w:tcPr>
            <w:tcW w:type="dxa" w:w="36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5. Model / Algorithm Analysis</w:t>
            </w:r>
          </w:p>
        </w:tc>
        <w:tc>
          <w:tcPr>
            <w:tcW w:type="dxa" w:w="54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Model selection &amp; suitability reasoning</w:t>
            </w:r>
          </w:p>
        </w:tc>
      </w:tr>
      <w:tr>
        <w:tc>
          <w:tcPr>
            <w:tcW w:type="dxa" w:w="36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6. Results &amp; Evaluation</w:t>
            </w:r>
          </w:p>
        </w:tc>
        <w:tc>
          <w:tcPr>
            <w:tcW w:type="dxa" w:w="54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Performance metrics &amp; evaluation</w:t>
            </w:r>
          </w:p>
        </w:tc>
      </w:tr>
      <w:tr>
        <w:tc>
          <w:tcPr>
            <w:tcW w:type="dxa" w:w="36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7. Challenges / Limitations</w:t>
            </w:r>
          </w:p>
        </w:tc>
        <w:tc>
          <w:tcPr>
            <w:tcW w:type="dxa" w:w="54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Synthetic data, grounding limits, &amp; domain scope</w:t>
            </w:r>
          </w:p>
        </w:tc>
      </w:tr>
      <w:tr>
        <w:tc>
          <w:tcPr>
            <w:tcW w:type="dxa" w:w="36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8. Research Perspective / Improvement</w:t>
            </w:r>
          </w:p>
        </w:tc>
        <w:tc>
          <w:tcPr>
            <w:tcW w:type="dxa" w:w="54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Gaps &amp; proposed future directions</w:t>
            </w:r>
          </w:p>
        </w:tc>
      </w:tr>
    </w:tbl>
    <w:p>
      <w:pPr>
        <w:spacing w:after="40" w:before="160"/>
      </w:pPr>
      <w:r>
        <w:rPr>
          <w:b/>
          <w:bCs/>
        </w:rPr>
        <w:t xml:space="preserve">Team Members:</w:t>
      </w:r>
    </w:p>
    <w:p>
      <w:pPr>
        <w:spacing w:after="20"/>
      </w:pPr>
      <w:r>
        <w:t xml:space="preserve">E. Pragnya Sree   -   24B11CS116</w:t>
      </w:r>
    </w:p>
    <w:p>
      <w:pPr>
        <w:spacing w:after="20"/>
      </w:pPr>
      <w:r>
        <w:t xml:space="preserve">G. Vijaya            -   24B11CS130</w:t>
      </w:r>
    </w:p>
    <w:p>
      <w:pPr>
        <w:spacing w:after="20"/>
      </w:pPr>
      <w:r>
        <w:t xml:space="preserve">G. Surya             -   24B11CS131</w:t>
      </w:r>
    </w:p>
    <w:p>
      <w:pPr>
        <w:spacing w:after="20"/>
      </w:pPr>
      <w:r>
        <w:t xml:space="preserve">G. Naidu             -   24B11CS142</w:t>
      </w:r>
    </w:p>
    <w:p>
      <w:pPr>
        <w:pStyle w:val="Heading1"/>
      </w:pPr>
      <w:r>
        <w:t xml:space="preserve">1. Case Study &amp; Problem Definition</w:t>
      </w:r>
    </w:p>
    <w:p>
      <w:pPr>
        <w:spacing w:after="120"/>
      </w:pPr>
      <w:r>
        <w:t xml:space="preserve">CampusNLP is a hybrid NLP application that understands a university student's natural-language question and answers it with facts grounded in official institutional documents. A student types a normal question such as “What are the prerequisites for CS301?” or “How many credits is the Operating Systems lab?”. The system cleans the text, converts it to TF-IDF features, predicts the query intent with a Logistic Regression classifier, retrieves the most relevant evidence chunk from the knowledge base using TF-IDF cosine similarity, and returns a grounded answer that cites its source — or explicitly abstains when reliable evidence is not available. It is served through a FastAPI backend and a React chat interface, and is designed to run fully offline with no API keys.</w:t>
      </w:r>
    </w:p>
    <w:p>
      <w:pPr>
        <w:pStyle w:val="ListParagraph"/>
        <w:numPr>
          <w:ilvl w:val="0"/>
          <w:numId w:val="2"/>
        </w:numPr>
        <w:spacing w:after="90"/>
      </w:pPr>
      <w:r>
        <w:t xml:space="preserve">Problem: university information (curriculum, regulations, credits, prerequisites, exam and attendance rules) is spread across large, scattered PDFs. Students waste time searching, and ordinary keyword search often fails to understand what the question actually means.</w:t>
      </w:r>
    </w:p>
    <w:p>
      <w:pPr>
        <w:pStyle w:val="ListParagraph"/>
        <w:numPr>
          <w:ilvl w:val="0"/>
          <w:numId w:val="2"/>
        </w:numPr>
        <w:spacing w:after="90"/>
      </w:pPr>
      <w:r>
        <w:t xml:space="preserve">Why NLP: the same question is asked in many ways (“What is the course code for OS?”, “OS course code?”, “code for Operating Systems”). Free text must be turned into numbers and matched to an intent by meaning-bearing words and phrases, not one fixed keyword. A classifier trained on many phrasings handles these variations.</w:t>
      </w:r>
    </w:p>
    <w:p>
      <w:pPr>
        <w:pStyle w:val="ListParagraph"/>
        <w:numPr>
          <w:ilvl w:val="0"/>
          <w:numId w:val="2"/>
        </w:numPr>
        <w:spacing w:after="90"/>
      </w:pPr>
      <w:r>
        <w:t xml:space="preserve">Why grounded retrieval, not a free generative bot: credits, rules and codes must be exact and verifiable. The system answers only from retrieved institutional evidence, cites the source document, and abstains when confidence is low — so it does not invent facts (anti-hallucination by design).</w:t>
      </w:r>
    </w:p>
    <w:p>
      <w:pPr>
        <w:pStyle w:val="Heading1"/>
      </w:pPr>
      <w:r>
        <w:t xml:space="preserve">2. Dataset / Text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110"/>
              <w:bottom w:type="dxa" w:w="60"/>
              <w:right w:type="dxa" w:w="110"/>
            </w:tcMar>
          </w:tcPr>
          <w:p>
            <w:pPr>
              <w:spacing w:after="0"/>
            </w:pPr>
            <w:r>
              <w:rPr>
                <w:b/>
                <w:bCs/>
                <w:color w:val="FFFFFF"/>
              </w:rPr>
              <w:t xml:space="preserve">Item</w:t>
            </w:r>
          </w:p>
        </w:tc>
        <w:tc>
          <w:tcPr>
            <w:tcW w:type="dxa" w:w="7026"/>
            <w:tcBorders>
              <w:top w:val="single" w:color="A6A6A6" w:sz="4"/>
              <w:left w:val="single" w:color="A6A6A6" w:sz="4"/>
              <w:bottom w:val="single" w:color="A6A6A6" w:sz="4"/>
              <w:right w:val="single" w:color="A6A6A6" w:sz="4"/>
            </w:tcBorders>
            <w:shd w:fill="1F3864" w:color="auto" w:val="clear"/>
            <w:tcMar>
              <w:top w:type="dxa" w:w="60"/>
              <w:left w:type="dxa" w:w="110"/>
              <w:bottom w:type="dxa" w:w="60"/>
              <w:right w:type="dxa" w:w="110"/>
            </w:tcMar>
          </w:tcPr>
          <w:p>
            <w:pPr>
              <w:spacing w:after="0"/>
            </w:pPr>
            <w:r>
              <w:rPr>
                <w:b/>
                <w:bCs/>
                <w:color w:val="FFFFFF"/>
              </w:rPr>
              <w:t xml:space="preserve">Description</w:t>
            </w:r>
          </w:p>
        </w:tc>
      </w:tr>
      <w:tr>
        <w:tc>
          <w:tcPr>
            <w:tcW w:type="dxa" w:w="20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Source / type</w:t>
            </w:r>
          </w:p>
        </w:tc>
        <w:tc>
          <w:tcPr>
            <w:tcW w:type="dxa" w:w="70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Two layers. (a) CampusFAQ-50K v1.0 — a project-generated, controlled synthetic benchmark (status: DEMO_ONLY_SYNTHETIC) used to train and evaluate intent classification. (b) An institutional knowledge base built from official B.Tech CSE curriculum and regulation documents (demo synthetic fixtures: 9 registered source documents, 28 knowledge chunks). English text.</w:t>
            </w:r>
          </w:p>
        </w:tc>
      </w:tr>
      <w:tr>
        <w:tc>
          <w:tcPr>
            <w:tcW w:type="dxa" w:w="20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Size</w:t>
            </w:r>
          </w:p>
        </w:tc>
        <w:tc>
          <w:tcPr>
            <w:tcW w:type="dxa" w:w="70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50,000 synthetic query records across 24 canonical intent classes; generated with a fixed seed (42) for reproducibility.</w:t>
            </w:r>
          </w:p>
        </w:tc>
      </w:tr>
      <w:tr>
        <w:tc>
          <w:tcPr>
            <w:tcW w:type="dxa" w:w="20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Structure / schema</w:t>
            </w:r>
          </w:p>
        </w:tc>
        <w:tc>
          <w:tcPr>
            <w:tcW w:type="dxa" w:w="70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Each record has query, intent, response, document_id, document_version, evidence (chunk id + quote + location), entities, answerable (is the answer in the KB), difficulty (easy/medium/hard), split, source_authority and provenance.</w:t>
            </w:r>
          </w:p>
        </w:tc>
      </w:tr>
      <w:tr>
        <w:tc>
          <w:tcPr>
            <w:tcW w:type="dxa" w:w="20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Intents / topics covered</w:t>
            </w:r>
          </w:p>
        </w:tc>
        <w:tc>
          <w:tcPr>
            <w:tcW w:type="dxa" w:w="70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Course overview, objectives, outcomes, credits, prerequisites, syllabus, course-code lookup, curriculum structure, electives, exam rules, exam schedule, grading, promotion, attendance, academic calendar, faculty/department info, laboratories, projects, document location, office contacts and student services — plus an ‘unsupported_or_unknown’ class for out-of-scope questions.</w:t>
            </w:r>
          </w:p>
        </w:tc>
      </w:tr>
      <w:tr>
        <w:tc>
          <w:tcPr>
            <w:tcW w:type="dxa" w:w="20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Split</w:t>
            </w:r>
          </w:p>
        </w:tc>
        <w:tc>
          <w:tcPr>
            <w:tcW w:type="dxa" w:w="70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Train / validation / test = 40,000 / 5,000 / 5,000 (stratified, seed 42).</w:t>
            </w:r>
          </w:p>
        </w:tc>
      </w:tr>
      <w:tr>
        <w:tc>
          <w:tcPr>
            <w:tcW w:type="dxa" w:w="20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Example</w:t>
            </w:r>
          </w:p>
        </w:tc>
        <w:tc>
          <w:tcPr>
            <w:tcW w:type="dxa" w:w="70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query “What is the course code for Operating Systems?” → intent ‘course_code_lookup’; answer grounded in the cited curriculum chunk.</w:t>
            </w:r>
          </w:p>
        </w:tc>
      </w:tr>
      <w:tr>
        <w:tc>
          <w:tcPr>
            <w:tcW w:type="dxa" w:w="20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Status &amp; caveat</w:t>
            </w:r>
          </w:p>
        </w:tc>
        <w:tc>
          <w:tcPr>
            <w:tcW w:type="dxa" w:w="70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Synthetic and procedurally generated — it does NOT represent real student conversations. The demo sources must be replaced with approved institutional documents before any real-world college accuracy is claimed.</w:t>
            </w:r>
          </w:p>
        </w:tc>
      </w:tr>
    </w:tbl>
    <w:p>
      <w:pPr>
        <w:pStyle w:val="Heading1"/>
      </w:pPr>
      <w:r>
        <w:t xml:space="preserve">3. NLP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6"/>
        <w:gridCol w:w="250"/>
        <w:gridCol w:w="1296"/>
        <w:gridCol w:w="250"/>
        <w:gridCol w:w="1296"/>
        <w:gridCol w:w="250"/>
        <w:gridCol w:w="1296"/>
        <w:gridCol w:w="250"/>
        <w:gridCol w:w="1296"/>
        <w:gridCol w:w="250"/>
        <w:gridCol w:w="1296"/>
      </w:tblGrid>
      <w:tr>
        <w:trPr>
          <w:trHeight w:val="700" w:hRule="atLeast"/>
        </w:trPr>
        <w:tc>
          <w:tcPr>
            <w:tcW w:type="dxa" w:w="1296"/>
            <w:tcBorders>
              <w:top w:val="single" w:color="A6A6A6" w:sz="4"/>
              <w:left w:val="single" w:color="A6A6A6" w:sz="4"/>
              <w:bottom w:val="single" w:color="A6A6A6" w:sz="4"/>
              <w:right w:val="single" w:color="A6A6A6" w:sz="4"/>
            </w:tcBorders>
            <w:shd w:fill="DCE6F2" w:color="auto" w:val="clear"/>
            <w:tcMar>
              <w:top w:type="dxa" w:w="60"/>
              <w:left w:type="dxa" w:w="110"/>
              <w:bottom w:type="dxa" w:w="60"/>
              <w:right w:type="dxa" w:w="110"/>
            </w:tcMar>
            <w:vAlign w:val="center"/>
          </w:tcPr>
          <w:p>
            <w:pPr>
              <w:spacing w:after="20"/>
              <w:jc w:val="center"/>
            </w:pPr>
            <w:r>
              <w:rPr>
                <w:b/>
                <w:bCs/>
                <w:sz w:val="18"/>
                <w:szCs w:val="18"/>
              </w:rPr>
              <w:t xml:space="preserve">Student Query</w:t>
            </w:r>
          </w:p>
          <w:p>
            <w:pPr>
              <w:spacing w:after="0"/>
              <w:jc w:val="center"/>
            </w:pPr>
            <w:r>
              <w:rPr>
                <w:color w:val="444444"/>
                <w:sz w:val="15"/>
                <w:szCs w:val="15"/>
              </w:rPr>
              <w:t xml:space="preserve">React chat UI → /api/query</w:t>
            </w:r>
          </w:p>
        </w:tc>
        <w:tc>
          <w:tcPr>
            <w:tcW w:type="dxa" w:w="250"/>
            <w:tcBorders>
              <w:top w:val="single" w:color="FFFFFF" w:sz="4"/>
              <w:left w:val="single" w:color="FFFFFF" w:sz="4"/>
              <w:bottom w:val="single" w:color="FFFFFF" w:sz="4"/>
              <w:right w:val="single" w:color="FFFFFF" w:sz="4"/>
            </w:tcBorders>
            <w:vAlign w:val="center"/>
          </w:tcPr>
          <w:p>
            <w:pPr>
              <w:jc w:val="center"/>
            </w:pPr>
            <w:r>
              <w:rPr>
                <w:b/>
                <w:bCs/>
                <w:sz w:val="20"/>
                <w:szCs w:val="20"/>
              </w:rPr>
              <w:t xml:space="preserve">→</w:t>
            </w:r>
          </w:p>
        </w:tc>
        <w:tc>
          <w:tcPr>
            <w:tcW w:type="dxa" w:w="1296"/>
            <w:tcBorders>
              <w:top w:val="single" w:color="A6A6A6" w:sz="4"/>
              <w:left w:val="single" w:color="A6A6A6" w:sz="4"/>
              <w:bottom w:val="single" w:color="A6A6A6" w:sz="4"/>
              <w:right w:val="single" w:color="A6A6A6" w:sz="4"/>
            </w:tcBorders>
            <w:shd w:fill="DCE6F2" w:color="auto" w:val="clear"/>
            <w:tcMar>
              <w:top w:type="dxa" w:w="60"/>
              <w:left w:type="dxa" w:w="110"/>
              <w:bottom w:type="dxa" w:w="60"/>
              <w:right w:type="dxa" w:w="110"/>
            </w:tcMar>
            <w:vAlign w:val="center"/>
          </w:tcPr>
          <w:p>
            <w:pPr>
              <w:spacing w:after="20"/>
              <w:jc w:val="center"/>
            </w:pPr>
            <w:r>
              <w:rPr>
                <w:b/>
                <w:bCs/>
                <w:sz w:val="18"/>
                <w:szCs w:val="18"/>
              </w:rPr>
              <w:t xml:space="preserve">Preprocessing</w:t>
            </w:r>
          </w:p>
          <w:p>
            <w:pPr>
              <w:spacing w:after="0"/>
              <w:jc w:val="center"/>
            </w:pPr>
            <w:r>
              <w:rPr>
                <w:color w:val="444444"/>
                <w:sz w:val="15"/>
                <w:szCs w:val="15"/>
              </w:rPr>
              <w:t xml:space="preserve">lowercase, regex clean</w:t>
            </w:r>
          </w:p>
        </w:tc>
        <w:tc>
          <w:tcPr>
            <w:tcW w:type="dxa" w:w="250"/>
            <w:tcBorders>
              <w:top w:val="single" w:color="FFFFFF" w:sz="4"/>
              <w:left w:val="single" w:color="FFFFFF" w:sz="4"/>
              <w:bottom w:val="single" w:color="FFFFFF" w:sz="4"/>
              <w:right w:val="single" w:color="FFFFFF" w:sz="4"/>
            </w:tcBorders>
            <w:vAlign w:val="center"/>
          </w:tcPr>
          <w:p>
            <w:pPr>
              <w:jc w:val="center"/>
            </w:pPr>
            <w:r>
              <w:rPr>
                <w:b/>
                <w:bCs/>
                <w:sz w:val="20"/>
                <w:szCs w:val="20"/>
              </w:rPr>
              <w:t xml:space="preserve">→</w:t>
            </w:r>
          </w:p>
        </w:tc>
        <w:tc>
          <w:tcPr>
            <w:tcW w:type="dxa" w:w="1296"/>
            <w:tcBorders>
              <w:top w:val="single" w:color="A6A6A6" w:sz="4"/>
              <w:left w:val="single" w:color="A6A6A6" w:sz="4"/>
              <w:bottom w:val="single" w:color="A6A6A6" w:sz="4"/>
              <w:right w:val="single" w:color="A6A6A6" w:sz="4"/>
            </w:tcBorders>
            <w:shd w:fill="DCE6F2" w:color="auto" w:val="clear"/>
            <w:tcMar>
              <w:top w:type="dxa" w:w="60"/>
              <w:left w:type="dxa" w:w="110"/>
              <w:bottom w:type="dxa" w:w="60"/>
              <w:right w:type="dxa" w:w="110"/>
            </w:tcMar>
            <w:vAlign w:val="center"/>
          </w:tcPr>
          <w:p>
            <w:pPr>
              <w:spacing w:after="20"/>
              <w:jc w:val="center"/>
            </w:pPr>
            <w:r>
              <w:rPr>
                <w:b/>
                <w:bCs/>
                <w:sz w:val="18"/>
                <w:szCs w:val="18"/>
              </w:rPr>
              <w:t xml:space="preserve">TF-IDF</w:t>
            </w:r>
          </w:p>
          <w:p>
            <w:pPr>
              <w:spacing w:after="0"/>
              <w:jc w:val="center"/>
            </w:pPr>
            <w:r>
              <w:rPr>
                <w:color w:val="444444"/>
                <w:sz w:val="15"/>
                <w:szCs w:val="15"/>
              </w:rPr>
              <w:t xml:space="preserve">unigrams + bigrams</w:t>
            </w:r>
          </w:p>
        </w:tc>
        <w:tc>
          <w:tcPr>
            <w:tcW w:type="dxa" w:w="250"/>
            <w:tcBorders>
              <w:top w:val="single" w:color="FFFFFF" w:sz="4"/>
              <w:left w:val="single" w:color="FFFFFF" w:sz="4"/>
              <w:bottom w:val="single" w:color="FFFFFF" w:sz="4"/>
              <w:right w:val="single" w:color="FFFFFF" w:sz="4"/>
            </w:tcBorders>
            <w:vAlign w:val="center"/>
          </w:tcPr>
          <w:p>
            <w:pPr>
              <w:jc w:val="center"/>
            </w:pPr>
            <w:r>
              <w:rPr>
                <w:b/>
                <w:bCs/>
                <w:sz w:val="20"/>
                <w:szCs w:val="20"/>
              </w:rPr>
              <w:t xml:space="preserve">→</w:t>
            </w:r>
          </w:p>
        </w:tc>
        <w:tc>
          <w:tcPr>
            <w:tcW w:type="dxa" w:w="1296"/>
            <w:tcBorders>
              <w:top w:val="single" w:color="A6A6A6" w:sz="4"/>
              <w:left w:val="single" w:color="A6A6A6" w:sz="4"/>
              <w:bottom w:val="single" w:color="A6A6A6" w:sz="4"/>
              <w:right w:val="single" w:color="A6A6A6" w:sz="4"/>
            </w:tcBorders>
            <w:shd w:fill="DCE6F2" w:color="auto" w:val="clear"/>
            <w:tcMar>
              <w:top w:type="dxa" w:w="60"/>
              <w:left w:type="dxa" w:w="110"/>
              <w:bottom w:type="dxa" w:w="60"/>
              <w:right w:type="dxa" w:w="110"/>
            </w:tcMar>
            <w:vAlign w:val="center"/>
          </w:tcPr>
          <w:p>
            <w:pPr>
              <w:spacing w:after="20"/>
              <w:jc w:val="center"/>
            </w:pPr>
            <w:r>
              <w:rPr>
                <w:b/>
                <w:bCs/>
                <w:sz w:val="18"/>
                <w:szCs w:val="18"/>
              </w:rPr>
              <w:t xml:space="preserve">Intent + Entities</w:t>
            </w:r>
          </w:p>
          <w:p>
            <w:pPr>
              <w:spacing w:after="0"/>
              <w:jc w:val="center"/>
            </w:pPr>
            <w:r>
              <w:rPr>
                <w:color w:val="444444"/>
                <w:sz w:val="15"/>
                <w:szCs w:val="15"/>
              </w:rPr>
              <w:t xml:space="preserve">LogReg + extractor</w:t>
            </w:r>
          </w:p>
        </w:tc>
        <w:tc>
          <w:tcPr>
            <w:tcW w:type="dxa" w:w="250"/>
            <w:tcBorders>
              <w:top w:val="single" w:color="FFFFFF" w:sz="4"/>
              <w:left w:val="single" w:color="FFFFFF" w:sz="4"/>
              <w:bottom w:val="single" w:color="FFFFFF" w:sz="4"/>
              <w:right w:val="single" w:color="FFFFFF" w:sz="4"/>
            </w:tcBorders>
            <w:vAlign w:val="center"/>
          </w:tcPr>
          <w:p>
            <w:pPr>
              <w:jc w:val="center"/>
            </w:pPr>
            <w:r>
              <w:rPr>
                <w:b/>
                <w:bCs/>
                <w:sz w:val="20"/>
                <w:szCs w:val="20"/>
              </w:rPr>
              <w:t xml:space="preserve">→</w:t>
            </w:r>
          </w:p>
        </w:tc>
        <w:tc>
          <w:tcPr>
            <w:tcW w:type="dxa" w:w="1296"/>
            <w:tcBorders>
              <w:top w:val="single" w:color="A6A6A6" w:sz="4"/>
              <w:left w:val="single" w:color="A6A6A6" w:sz="4"/>
              <w:bottom w:val="single" w:color="A6A6A6" w:sz="4"/>
              <w:right w:val="single" w:color="A6A6A6" w:sz="4"/>
            </w:tcBorders>
            <w:shd w:fill="DCE6F2" w:color="auto" w:val="clear"/>
            <w:tcMar>
              <w:top w:type="dxa" w:w="60"/>
              <w:left w:type="dxa" w:w="110"/>
              <w:bottom w:type="dxa" w:w="60"/>
              <w:right w:type="dxa" w:w="110"/>
            </w:tcMar>
            <w:vAlign w:val="center"/>
          </w:tcPr>
          <w:p>
            <w:pPr>
              <w:spacing w:after="20"/>
              <w:jc w:val="center"/>
            </w:pPr>
            <w:r>
              <w:rPr>
                <w:b/>
                <w:bCs/>
                <w:sz w:val="18"/>
                <w:szCs w:val="18"/>
              </w:rPr>
              <w:t xml:space="preserve">Retrieve + Ground</w:t>
            </w:r>
          </w:p>
          <w:p>
            <w:pPr>
              <w:spacing w:after="0"/>
              <w:jc w:val="center"/>
            </w:pPr>
            <w:r>
              <w:rPr>
                <w:color w:val="444444"/>
                <w:sz w:val="15"/>
                <w:szCs w:val="15"/>
              </w:rPr>
              <w:t xml:space="preserve">TF-IDF cosine + check</w:t>
            </w:r>
          </w:p>
        </w:tc>
        <w:tc>
          <w:tcPr>
            <w:tcW w:type="dxa" w:w="250"/>
            <w:tcBorders>
              <w:top w:val="single" w:color="FFFFFF" w:sz="4"/>
              <w:left w:val="single" w:color="FFFFFF" w:sz="4"/>
              <w:bottom w:val="single" w:color="FFFFFF" w:sz="4"/>
              <w:right w:val="single" w:color="FFFFFF" w:sz="4"/>
            </w:tcBorders>
            <w:vAlign w:val="center"/>
          </w:tcPr>
          <w:p>
            <w:pPr>
              <w:jc w:val="center"/>
            </w:pPr>
            <w:r>
              <w:rPr>
                <w:b/>
                <w:bCs/>
                <w:sz w:val="20"/>
                <w:szCs w:val="20"/>
              </w:rPr>
              <w:t xml:space="preserve">→</w:t>
            </w:r>
          </w:p>
        </w:tc>
        <w:tc>
          <w:tcPr>
            <w:tcW w:type="dxa" w:w="1296"/>
            <w:tcBorders>
              <w:top w:val="single" w:color="A6A6A6" w:sz="4"/>
              <w:left w:val="single" w:color="A6A6A6" w:sz="4"/>
              <w:bottom w:val="single" w:color="A6A6A6" w:sz="4"/>
              <w:right w:val="single" w:color="A6A6A6" w:sz="4"/>
            </w:tcBorders>
            <w:shd w:fill="DCE6F2" w:color="auto" w:val="clear"/>
            <w:tcMar>
              <w:top w:type="dxa" w:w="60"/>
              <w:left w:type="dxa" w:w="110"/>
              <w:bottom w:type="dxa" w:w="60"/>
              <w:right w:type="dxa" w:w="110"/>
            </w:tcMar>
            <w:vAlign w:val="center"/>
          </w:tcPr>
          <w:p>
            <w:pPr>
              <w:spacing w:after="20"/>
              <w:jc w:val="center"/>
            </w:pPr>
            <w:r>
              <w:rPr>
                <w:b/>
                <w:bCs/>
                <w:sz w:val="18"/>
                <w:szCs w:val="18"/>
              </w:rPr>
              <w:t xml:space="preserve">Answer / Cite</w:t>
            </w:r>
          </w:p>
          <w:p>
            <w:pPr>
              <w:spacing w:after="0"/>
              <w:jc w:val="center"/>
            </w:pPr>
            <w:r>
              <w:rPr>
                <w:color w:val="444444"/>
                <w:sz w:val="15"/>
                <w:szCs w:val="15"/>
              </w:rPr>
              <w:t xml:space="preserve">or safe abstain</w:t>
            </w:r>
          </w:p>
        </w:tc>
      </w:tr>
    </w:tbl>
    <w:p>
      <w:pPr>
        <w:spacing w:after="40" w:before="120"/>
      </w:pPr>
      <w:r>
        <w:rPr>
          <w:b/>
          <w:bCs/>
        </w:rPr>
        <w:t xml:space="preserve">Default offline (deterministic) pipeline:</w:t>
      </w:r>
    </w:p>
    <w:p>
      <w:pPr>
        <w:pStyle w:val="ListParagraph"/>
        <w:numPr>
          <w:ilvl w:val="0"/>
          <w:numId w:val="2"/>
        </w:numPr>
        <w:spacing w:after="90"/>
      </w:pPr>
      <w:r>
        <w:t xml:space="preserve">Preprocessing: convert to lowercase, strip punctuation and special characters with a regular expression (keeping letters and digits so codes like “cs301” survive), and collapse repeated spaces. The same function is applied during training and at query time. Example: “What are the OS lab TIMINGS???” → “what are the os lab timings”.</w:t>
      </w:r>
    </w:p>
    <w:p>
      <w:pPr>
        <w:pStyle w:val="ListParagraph"/>
        <w:numPr>
          <w:ilvl w:val="0"/>
          <w:numId w:val="2"/>
        </w:numPr>
        <w:spacing w:after="90"/>
      </w:pPr>
      <w:r>
        <w:t xml:space="preserve">Representation: a TfidfVectorizer with ngram_range=(1, 2), min_df=3 and sublinear_tf=True turns single words and two-word phrases (e.g. “course code”, “exam rules”) into sparse numeric features; the fitted vectorizer is saved with joblib and reused without refitting.</w:t>
      </w:r>
    </w:p>
    <w:p>
      <w:pPr>
        <w:pStyle w:val="ListParagraph"/>
        <w:numPr>
          <w:ilvl w:val="0"/>
          <w:numId w:val="2"/>
        </w:numPr>
        <w:spacing w:after="90"/>
      </w:pPr>
      <w:r>
        <w:t xml:space="preserve">Intent classification: a Logistic Regression classifier maps the TF-IDF vector to one of the 24 intents and exposes calibrated class probabilities (predict_proba), whose maximum is used as a confidence score.</w:t>
      </w:r>
    </w:p>
    <w:p>
      <w:pPr>
        <w:pStyle w:val="ListParagraph"/>
        <w:numPr>
          <w:ilvl w:val="0"/>
          <w:numId w:val="2"/>
        </w:numPr>
        <w:spacing w:after="90"/>
      </w:pPr>
      <w:r>
        <w:t xml:space="preserve">Entity extraction: a rule-based extractor (regex + a course dictionary + fuzzy matching) pulls out course code, course name, branch, semester and unit, and can route an explicit course mention straight to curriculum retrieval.</w:t>
      </w:r>
    </w:p>
    <w:p>
      <w:pPr>
        <w:pStyle w:val="ListParagraph"/>
        <w:numPr>
          <w:ilvl w:val="0"/>
          <w:numId w:val="2"/>
        </w:numPr>
        <w:spacing w:after="90"/>
      </w:pPr>
      <w:r>
        <w:t xml:space="preserve">Semantic retrieval: the query is matched against the institutional knowledge-base chunks using a second TF-IDF representation and cosine similarity; the highest-scoring chunk and its score are returned.</w:t>
      </w:r>
    </w:p>
    <w:p>
      <w:pPr>
        <w:pStyle w:val="ListParagraph"/>
        <w:numPr>
          <w:ilvl w:val="0"/>
          <w:numId w:val="2"/>
        </w:numPr>
        <w:spacing w:after="90"/>
      </w:pPr>
      <w:r>
        <w:t xml:space="preserve">Grounding, confidence &amp; abstention: if intent confidence or the retrieval score is below threshold, the system returns a safe abstention message instead of guessing; otherwise it builds a response from the retrieved evidence and reports the source document. Greeting/help messages are answered directly without retrieval.</w:t>
      </w:r>
    </w:p>
    <w:p>
      <w:pPr>
        <w:pStyle w:val="ListParagraph"/>
        <w:numPr>
          <w:ilvl w:val="0"/>
          <w:numId w:val="2"/>
        </w:numPr>
        <w:spacing w:after="90"/>
      </w:pPr>
      <w:r>
        <w:t xml:space="preserve">Output: the grounded answer, predicted intent, confidence and source citation are returned as JSON and rendered in the chat UI, with conversation history kept client-side.</w:t>
      </w:r>
    </w:p>
    <w:p>
      <w:pPr>
        <w:spacing w:after="40" w:before="100"/>
      </w:pPr>
      <w:r>
        <w:rPr>
          <w:b/>
          <w:bCs/>
        </w:rPr>
        <w:t xml:space="preserve">Optional advanced RAG layer (opt-in, /api/chat):</w:t>
      </w:r>
    </w:p>
    <w:p>
      <w:pPr>
        <w:pStyle w:val="ListParagraph"/>
        <w:numPr>
          <w:ilvl w:val="0"/>
          <w:numId w:val="2"/>
        </w:numPr>
        <w:spacing w:after="90"/>
      </w:pPr>
      <w:r>
        <w:t xml:space="preserve">When remote services are enabled, the same request flows through input guardrails → intent classification → entity extraction → hybrid dense + sparse retrieval → cross-encoder reranking → grounded answer generation → source-attribution confidence scoring → a fact/hallucination check. It uses hosted embedding, reranker and LLM models and is disabled by default so the project stays offline and credential-free.</w:t>
      </w:r>
    </w:p>
    <w:p>
      <w:pPr>
        <w:pStyle w:val="Heading1"/>
      </w:pPr>
      <w:r>
        <w:t xml:space="preserve">4. NLP Techniques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526"/>
      </w:tblGrid>
      <w:tr>
        <w:trPr>
          <w:tblHeader/>
        </w:trPr>
        <w:tc>
          <w:tcPr>
            <w:tcW w:type="dxa" w:w="3200"/>
            <w:tcBorders>
              <w:top w:val="single" w:color="A6A6A6" w:sz="4"/>
              <w:left w:val="single" w:color="A6A6A6" w:sz="4"/>
              <w:bottom w:val="single" w:color="A6A6A6" w:sz="4"/>
              <w:right w:val="single" w:color="A6A6A6" w:sz="4"/>
            </w:tcBorders>
            <w:shd w:fill="1F3864" w:color="auto" w:val="clear"/>
            <w:tcMar>
              <w:top w:type="dxa" w:w="60"/>
              <w:left w:type="dxa" w:w="110"/>
              <w:bottom w:type="dxa" w:w="60"/>
              <w:right w:type="dxa" w:w="110"/>
            </w:tcMar>
          </w:tcPr>
          <w:p>
            <w:pPr>
              <w:spacing w:after="0"/>
            </w:pPr>
            <w:r>
              <w:rPr>
                <w:b/>
                <w:bCs/>
                <w:color w:val="FFFFFF"/>
              </w:rPr>
              <w:t xml:space="preserve">Technique</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110"/>
              <w:bottom w:type="dxa" w:w="60"/>
              <w:right w:type="dxa" w:w="110"/>
            </w:tcMar>
          </w:tcPr>
          <w:p>
            <w:pPr>
              <w:spacing w:after="0"/>
            </w:pPr>
            <w:r>
              <w:rPr>
                <w:b/>
                <w:bCs/>
                <w:color w:val="FFFFFF"/>
              </w:rPr>
              <w:t xml:space="preserve">Status</w:t>
            </w:r>
          </w:p>
        </w:tc>
        <w:tc>
          <w:tcPr>
            <w:tcW w:type="dxa" w:w="4526"/>
            <w:tcBorders>
              <w:top w:val="single" w:color="A6A6A6" w:sz="4"/>
              <w:left w:val="single" w:color="A6A6A6" w:sz="4"/>
              <w:bottom w:val="single" w:color="A6A6A6" w:sz="4"/>
              <w:right w:val="single" w:color="A6A6A6" w:sz="4"/>
            </w:tcBorders>
            <w:shd w:fill="1F3864" w:color="auto" w:val="clear"/>
            <w:tcMar>
              <w:top w:type="dxa" w:w="60"/>
              <w:left w:type="dxa" w:w="110"/>
              <w:bottom w:type="dxa" w:w="60"/>
              <w:right w:type="dxa" w:w="110"/>
            </w:tcMar>
          </w:tcPr>
          <w:p>
            <w:pPr>
              <w:spacing w:after="0"/>
            </w:pPr>
            <w:r>
              <w:rPr>
                <w:b/>
                <w:bCs/>
                <w:color w:val="FFFFFF"/>
              </w:rPr>
              <w:t xml:space="preserve">Note</w:t>
            </w:r>
          </w:p>
        </w:tc>
      </w:tr>
      <w:tr>
        <w:tc>
          <w:tcPr>
            <w:tcW w:type="dxa" w:w="32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Lowercasing, regex cleaning, space normalisation</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Used</w:t>
            </w:r>
          </w:p>
        </w:tc>
        <w:tc>
          <w:tcPr>
            <w:tcW w:type="dxa" w:w="45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Removes noise so identically meant words match.</w:t>
            </w:r>
          </w:p>
        </w:tc>
      </w:tr>
      <w:tr>
        <w:tc>
          <w:tcPr>
            <w:tcW w:type="dxa" w:w="32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Tokenization</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Used</w:t>
            </w:r>
          </w:p>
        </w:tc>
        <w:tc>
          <w:tcPr>
            <w:tcW w:type="dxa" w:w="45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Word tokenizer inside TfidfVectorizer (default pattern ignores single-character tokens).</w:t>
            </w:r>
          </w:p>
        </w:tc>
      </w:tr>
      <w:tr>
        <w:tc>
          <w:tcPr>
            <w:tcW w:type="dxa" w:w="32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N-grams (unigram + bigram)</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Used</w:t>
            </w:r>
          </w:p>
        </w:tc>
        <w:tc>
          <w:tcPr>
            <w:tcW w:type="dxa" w:w="45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Captures phrases such as “course code” and “exam rules”.</w:t>
            </w:r>
          </w:p>
        </w:tc>
      </w:tr>
      <w:tr>
        <w:tc>
          <w:tcPr>
            <w:tcW w:type="dxa" w:w="32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TF-IDF (sublinear_tf, min_df=3)</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Used</w:t>
            </w:r>
          </w:p>
        </w:tc>
        <w:tc>
          <w:tcPr>
            <w:tcW w:type="dxa" w:w="45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Weights words that separate one intent from another; a second TF-IDF powers cosine retrieval.</w:t>
            </w:r>
          </w:p>
        </w:tc>
      </w:tr>
      <w:tr>
        <w:tc>
          <w:tcPr>
            <w:tcW w:type="dxa" w:w="32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Intent classification (Logistic Regression)</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Used</w:t>
            </w:r>
          </w:p>
        </w:tc>
        <w:tc>
          <w:tcPr>
            <w:tcW w:type="dxa" w:w="45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Maps the TF-IDF vector to one of 24 intents and gives probability-based confidence.</w:t>
            </w:r>
          </w:p>
        </w:tc>
      </w:tr>
      <w:tr>
        <w:tc>
          <w:tcPr>
            <w:tcW w:type="dxa" w:w="32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Semantic retrieval (TF-IDF cosine similarity)</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Used</w:t>
            </w:r>
          </w:p>
        </w:tc>
        <w:tc>
          <w:tcPr>
            <w:tcW w:type="dxa" w:w="45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Finds the most relevant knowledge-base chunk to ground the answer.</w:t>
            </w:r>
          </w:p>
        </w:tc>
      </w:tr>
      <w:tr>
        <w:tc>
          <w:tcPr>
            <w:tcW w:type="dxa" w:w="32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Entity extraction / NER (regex + dictionary + fuzzy)</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Used</w:t>
            </w:r>
          </w:p>
        </w:tc>
        <w:tc>
          <w:tcPr>
            <w:tcW w:type="dxa" w:w="45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Extracts course code, course name, branch, semester and unit.</w:t>
            </w:r>
          </w:p>
        </w:tc>
      </w:tr>
      <w:tr>
        <w:tc>
          <w:tcPr>
            <w:tcW w:type="dxa" w:w="32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Confidence thresholding &amp; abstention</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Used</w:t>
            </w:r>
          </w:p>
        </w:tc>
        <w:tc>
          <w:tcPr>
            <w:tcW w:type="dxa" w:w="45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Low-confidence or low-evidence queries return a safe fallback instead of a wrong answer.</w:t>
            </w:r>
          </w:p>
        </w:tc>
      </w:tr>
      <w:tr>
        <w:tc>
          <w:tcPr>
            <w:tcW w:type="dxa" w:w="32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Input guardrails (prompt-injection + non-academic filter)</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Used</w:t>
            </w:r>
          </w:p>
        </w:tc>
        <w:tc>
          <w:tcPr>
            <w:tcW w:type="dxa" w:w="45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Blocks injection attempts and out-of-domain requests.</w:t>
            </w:r>
          </w:p>
        </w:tc>
      </w:tr>
      <w:tr>
        <w:tc>
          <w:tcPr>
            <w:tcW w:type="dxa" w:w="32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Stop-word removal</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Partly</w:t>
            </w:r>
          </w:p>
        </w:tc>
        <w:tc>
          <w:tcPr>
            <w:tcW w:type="dxa" w:w="45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Applied in the retrieval vectorizer; not applied to the classifier (short cue words help intent).</w:t>
            </w:r>
          </w:p>
        </w:tc>
      </w:tr>
      <w:tr>
        <w:tc>
          <w:tcPr>
            <w:tcW w:type="dxa" w:w="32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Stemming / lemmatization</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Not used</w:t>
            </w:r>
          </w:p>
        </w:tc>
        <w:tc>
          <w:tcPr>
            <w:tcW w:type="dxa" w:w="45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Word forms are kept as typed; no morphological normalisation.</w:t>
            </w:r>
          </w:p>
        </w:tc>
      </w:tr>
      <w:tr>
        <w:tc>
          <w:tcPr>
            <w:tcW w:type="dxa" w:w="32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Embeddings / Transformers / cross-encoder / LLM</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Opt-in</w:t>
            </w:r>
          </w:p>
        </w:tc>
        <w:tc>
          <w:tcPr>
            <w:tcW w:type="dxa" w:w="45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Available in the advanced RAG layer (hosted models); off by default — listed as future work.</w:t>
            </w:r>
          </w:p>
        </w:tc>
      </w:tr>
      <w:tr>
        <w:tc>
          <w:tcPr>
            <w:tcW w:type="dxa" w:w="32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Spelling correction</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Not used</w:t>
            </w:r>
          </w:p>
        </w:tc>
        <w:tc>
          <w:tcPr>
            <w:tcW w:type="dxa" w:w="45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Typing mistakes can cause wrong or missing matches.</w:t>
            </w:r>
          </w:p>
        </w:tc>
      </w:tr>
    </w:tbl>
    <w:p>
      <w:pPr>
        <w:pStyle w:val="Heading1"/>
      </w:pPr>
      <w:r>
        <w:t xml:space="preserve">5. Model / Algorithm Analysis</w:t>
      </w:r>
    </w:p>
    <w:p>
      <w:pPr>
        <w:pStyle w:val="ListParagraph"/>
        <w:numPr>
          <w:ilvl w:val="0"/>
          <w:numId w:val="2"/>
        </w:numPr>
        <w:spacing w:after="90"/>
      </w:pPr>
      <w:r>
        <w:t xml:space="preserve">TF-IDF + n-grams: lightweight, needs no GPU, and produces sparse high-dimensional features that suit short-text classification; sublinear_tf dampens repeated terms and min_df=3 drops very rare, noisy tokens.</w:t>
      </w:r>
    </w:p>
    <w:p>
      <w:pPr>
        <w:pStyle w:val="ListParagraph"/>
        <w:numPr>
          <w:ilvl w:val="0"/>
          <w:numId w:val="2"/>
        </w:numPr>
        <w:spacing w:after="90"/>
      </w:pPr>
      <w:r>
        <w:t xml:space="preserve">Logistic Regression (C=2.5, solver=lbfgs, max_iter=500, seed 42): handles sparse TF-IDF well, scales to all 24 intents, trains in seconds, runs offline on an ordinary CPU, and — crucially — gives calibrated probabilities so a confidence threshold can drive abstention.</w:t>
      </w:r>
    </w:p>
    <w:p>
      <w:pPr>
        <w:pStyle w:val="ListParagraph"/>
        <w:numPr>
          <w:ilvl w:val="0"/>
          <w:numId w:val="2"/>
        </w:numPr>
        <w:spacing w:after="90"/>
      </w:pPr>
      <w:r>
        <w:t xml:space="preserve">Linear SVM (LinearSVC) baseline: trained and compared on the same split; strong on sparse text but does not output probabilities natively, which is why calibrated Logistic Regression is the default.</w:t>
      </w:r>
    </w:p>
    <w:p>
      <w:pPr>
        <w:pStyle w:val="ListParagraph"/>
        <w:numPr>
          <w:ilvl w:val="0"/>
          <w:numId w:val="2"/>
        </w:numPr>
        <w:spacing w:after="90"/>
      </w:pPr>
      <w:r>
        <w:t xml:space="preserve">TF-IDF cosine retrieval: transparent, deterministic and dependency-free; it grounds every substantive answer in a specific cited chunk rather than free text.</w:t>
      </w:r>
    </w:p>
    <w:p>
      <w:pPr>
        <w:pStyle w:val="ListParagraph"/>
        <w:numPr>
          <w:ilvl w:val="0"/>
          <w:numId w:val="2"/>
        </w:numPr>
        <w:spacing w:after="90"/>
      </w:pPr>
      <w:r>
        <w:t xml:space="preserve">Why grounded retrieval + abstention over a generative model (GPT / T5 style): a generative model could invent credits, codes or rules and cannot guarantee verified answers; CampusNLP instead cites retrieved evidence and declines when evidence is weak.</w:t>
      </w:r>
    </w:p>
    <w:p>
      <w:pPr>
        <w:pStyle w:val="ListParagraph"/>
        <w:numPr>
          <w:ilvl w:val="0"/>
          <w:numId w:val="2"/>
        </w:numPr>
        <w:spacing w:after="90"/>
      </w:pPr>
      <w:r>
        <w:t xml:space="preserve">Why not BERT / deep learning as the default: the synthetic benchmark is highly templated, so heavier models are not justified for the baseline; transformer embeddings and reranking are provided as an opt-in advanced layer for real-world data.</w:t>
      </w:r>
    </w:p>
    <w:p>
      <w:pPr>
        <w:pStyle w:val="ListParagraph"/>
        <w:numPr>
          <w:ilvl w:val="0"/>
          <w:numId w:val="2"/>
        </w:numPr>
        <w:spacing w:after="90"/>
      </w:pPr>
      <w:r>
        <w:t xml:space="preserve">Why not plain keyword rules: they break when the same question is worded differently; a trained classifier generalises across phrasings.</w:t>
      </w:r>
    </w:p>
    <w:p>
      <w:pPr>
        <w:pStyle w:val="Heading1"/>
      </w:pPr>
      <w:r>
        <w:t xml:space="preserve">6. Results &amp;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6A6A6" w:sz="4"/>
              <w:left w:val="single" w:color="A6A6A6" w:sz="4"/>
              <w:bottom w:val="single" w:color="A6A6A6" w:sz="4"/>
              <w:right w:val="single" w:color="A6A6A6" w:sz="4"/>
            </w:tcBorders>
            <w:shd w:fill="1F3864" w:color="auto" w:val="clear"/>
            <w:tcMar>
              <w:top w:type="dxa" w:w="60"/>
              <w:left w:type="dxa" w:w="110"/>
              <w:bottom w:type="dxa" w:w="60"/>
              <w:right w:type="dxa" w:w="110"/>
            </w:tcMar>
          </w:tcPr>
          <w:p>
            <w:pPr>
              <w:spacing w:after="0"/>
            </w:pPr>
            <w:r>
              <w:rPr>
                <w:b/>
                <w:bCs/>
                <w:color w:val="FFFFFF"/>
              </w:rPr>
              <w:t xml:space="preserve">Metric</w:t>
            </w:r>
          </w:p>
        </w:tc>
        <w:tc>
          <w:tcPr>
            <w:tcW w:type="dxa" w:w="6226"/>
            <w:tcBorders>
              <w:top w:val="single" w:color="A6A6A6" w:sz="4"/>
              <w:left w:val="single" w:color="A6A6A6" w:sz="4"/>
              <w:bottom w:val="single" w:color="A6A6A6" w:sz="4"/>
              <w:right w:val="single" w:color="A6A6A6" w:sz="4"/>
            </w:tcBorders>
            <w:shd w:fill="1F3864" w:color="auto" w:val="clear"/>
            <w:tcMar>
              <w:top w:type="dxa" w:w="60"/>
              <w:left w:type="dxa" w:w="110"/>
              <w:bottom w:type="dxa" w:w="60"/>
              <w:right w:type="dxa" w:w="110"/>
            </w:tcMar>
          </w:tcPr>
          <w:p>
            <w:pPr>
              <w:spacing w:after="0"/>
            </w:pPr>
            <w:r>
              <w:rPr>
                <w:b/>
                <w:bCs/>
                <w:color w:val="FFFFFF"/>
              </w:rPr>
              <w:t xml:space="preserve">Value</w:t>
            </w:r>
          </w:p>
        </w:tc>
      </w:tr>
      <w:tr>
        <w:tc>
          <w:tcPr>
            <w:tcW w:type="dxa" w:w="28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Intent classification accuracy</w:t>
            </w:r>
          </w:p>
        </w:tc>
        <w:tc>
          <w:tcPr>
            <w:tcW w:type="dxa" w:w="62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1.0000 on the held-out synthetic CampusFAQ-50K test set</w:t>
            </w:r>
          </w:p>
        </w:tc>
      </w:tr>
      <w:tr>
        <w:tc>
          <w:tcPr>
            <w:tcW w:type="dxa" w:w="28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Precision / Recall / F1</w:t>
            </w:r>
          </w:p>
        </w:tc>
        <w:tc>
          <w:tcPr>
            <w:tcW w:type="dxa" w:w="62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1.0000 across all 24 intent classes (macro)</w:t>
            </w:r>
          </w:p>
        </w:tc>
      </w:tr>
      <w:tr>
        <w:tc>
          <w:tcPr>
            <w:tcW w:type="dxa" w:w="28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Intent classes</w:t>
            </w:r>
          </w:p>
        </w:tc>
        <w:tc>
          <w:tcPr>
            <w:tcW w:type="dxa" w:w="62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24 canonical intents (including a dedicated ‘unsupported_or_unknown’ class for out-of-scope queries)</w:t>
            </w:r>
          </w:p>
        </w:tc>
      </w:tr>
      <w:tr>
        <w:tc>
          <w:tcPr>
            <w:tcW w:type="dxa" w:w="28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Benchmark size</w:t>
            </w:r>
          </w:p>
        </w:tc>
        <w:tc>
          <w:tcPr>
            <w:tcW w:type="dxa" w:w="62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50,000 synthetic records (train / val / test = 40,000 / 5,000 / 5,000, seed 42)</w:t>
            </w:r>
          </w:p>
        </w:tc>
      </w:tr>
      <w:tr>
        <w:tc>
          <w:tcPr>
            <w:tcW w:type="dxa" w:w="28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Baselines compared</w:t>
            </w:r>
          </w:p>
        </w:tc>
        <w:tc>
          <w:tcPr>
            <w:tcW w:type="dxa" w:w="62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TF-IDF + Logistic Regression vs. TF-IDF + Linear SVM</w:t>
            </w:r>
          </w:p>
        </w:tc>
      </w:tr>
      <w:tr>
        <w:tc>
          <w:tcPr>
            <w:tcW w:type="dxa" w:w="28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Grounding &amp; abstention</w:t>
            </w:r>
          </w:p>
        </w:tc>
        <w:tc>
          <w:tcPr>
            <w:tcW w:type="dxa" w:w="62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Answers cite the retrieved source document; low-confidence, low-evidence and out-of-scope questions are safely abstained rather than answered</w:t>
            </w:r>
          </w:p>
        </w:tc>
      </w:tr>
      <w:tr>
        <w:tc>
          <w:tcPr>
            <w:tcW w:type="dxa" w:w="28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Answer source</w:t>
            </w:r>
          </w:p>
        </w:tc>
        <w:tc>
          <w:tcPr>
            <w:tcW w:type="dxa" w:w="62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Retrieved evidence chunk + citation (no free-text invention in the default pipeline)</w:t>
            </w:r>
          </w:p>
        </w:tc>
      </w:tr>
      <w:tr>
        <w:tc>
          <w:tcPr>
            <w:tcW w:type="dxa" w:w="2800"/>
            <w:tcBorders>
              <w:top w:val="single" w:color="A6A6A6" w:sz="4"/>
              <w:left w:val="single" w:color="A6A6A6" w:sz="4"/>
              <w:bottom w:val="single" w:color="A6A6A6" w:sz="4"/>
              <w:right w:val="single" w:color="A6A6A6" w:sz="4"/>
            </w:tcBorders>
            <w:shd w:fill="F2F2F2" w:color="auto" w:val="clear"/>
            <w:tcMar>
              <w:top w:type="dxa" w:w="60"/>
              <w:left w:type="dxa" w:w="110"/>
              <w:bottom w:type="dxa" w:w="60"/>
              <w:right w:type="dxa" w:w="110"/>
            </w:tcMar>
          </w:tcPr>
          <w:p>
            <w:pPr>
              <w:spacing w:after="0"/>
            </w:pPr>
            <w:r>
              <w:rPr>
                <w:b/>
                <w:bCs/>
              </w:rPr>
              <w:t xml:space="preserve">Automated verification</w:t>
            </w:r>
          </w:p>
        </w:tc>
        <w:tc>
          <w:tcPr>
            <w:tcW w:type="dxa" w:w="6226"/>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t xml:space="preserve">28 passing automated tests across preprocessing, classification, retrieval, pipeline, API and chat-regression suites</w:t>
            </w:r>
          </w:p>
        </w:tc>
      </w:tr>
    </w:tbl>
    <w:p>
      <w:pPr>
        <w:spacing w:after="120" w:before="120"/>
      </w:pPr>
      <w:r>
        <w:rPr>
          <w:b/>
          <w:bCs/>
        </w:rPr>
        <w:t xml:space="preserve">Interpretation: </w:t>
      </w:r>
      <w:r>
        <w:t xml:space="preserve">the perfect scores are a direct consequence of the synthetic, procedurally generated benchmark — the templated queries have minimal overlap or ambiguity between classes, so classification is near-trivial. These numbers must NOT be read as real-world accuracy. The honest, defensible contribution is the architecture itself — intent classification combined with evidence-grounded retrieval, source citation and principled abstention — evaluated on both classification and retrieval rather than on chat ‘fluency’ alone. On naturally collected student questions, accuracy would be lower and authentic misclassifications (e.g. between closely related exam/grading intents) would appear; characterising those is explicit future work.</w:t>
      </w:r>
    </w:p>
    <w:p>
      <w:pPr>
        <w:pStyle w:val="Heading1"/>
      </w:pPr>
      <w:r>
        <w:t xml:space="preserve">7. Challenges / Limitations</w:t>
      </w:r>
    </w:p>
    <w:p>
      <w:pPr>
        <w:pStyle w:val="ListParagraph"/>
        <w:numPr>
          <w:ilvl w:val="0"/>
          <w:numId w:val="2"/>
        </w:numPr>
        <w:spacing w:after="90"/>
      </w:pPr>
      <w:r>
        <w:t xml:space="preserve">Synthetic benchmark: CampusFAQ-50K lacks the natural noise, typos and conversational ambiguity of real student interactions, so its 100% accuracy does not transfer to the real world.</w:t>
      </w:r>
    </w:p>
    <w:p>
      <w:pPr>
        <w:pStyle w:val="ListParagraph"/>
        <w:numPr>
          <w:ilvl w:val="0"/>
          <w:numId w:val="2"/>
        </w:numPr>
        <w:spacing w:after="90"/>
      </w:pPr>
      <w:r>
        <w:t xml:space="preserve">Knowledge-base dependence: answers are only as good as the institutional documents loaded. If a rule is not stated in the provided documents the system must abstain rather than guess; the bundled demo knowledge base is a thin synthetic fixture (28 chunks).</w:t>
      </w:r>
    </w:p>
    <w:p>
      <w:pPr>
        <w:pStyle w:val="ListParagraph"/>
        <w:numPr>
          <w:ilvl w:val="0"/>
          <w:numId w:val="2"/>
        </w:numPr>
        <w:spacing w:after="90"/>
      </w:pPr>
      <w:r>
        <w:t xml:space="preserve">Domain scope: the assistant is deliberately restricted to academic/administrative intents — general-domain queries are safely abstained — and it is English-only (no Telugu or mixed-language support).</w:t>
      </w:r>
    </w:p>
    <w:p>
      <w:pPr>
        <w:pStyle w:val="ListParagraph"/>
        <w:numPr>
          <w:ilvl w:val="0"/>
          <w:numId w:val="2"/>
        </w:numPr>
        <w:spacing w:after="90"/>
      </w:pPr>
      <w:r>
        <w:t xml:space="preserve">Language handling: the default pipeline has no stemming, lemmatization or spelling correction, so paraphrases and typos not seen in training can be missed.</w:t>
      </w:r>
    </w:p>
    <w:p>
      <w:pPr>
        <w:pStyle w:val="ListParagraph"/>
        <w:numPr>
          <w:ilvl w:val="0"/>
          <w:numId w:val="2"/>
        </w:numPr>
        <w:spacing w:after="90"/>
      </w:pPr>
      <w:r>
        <w:t xml:space="preserve">Lexical retrieval by default: TF-IDF cosine matches surface words, not deep meaning; true semantic (embedding) retrieval and reranking exist only in the opt-in advanced layer, which needs credentials and network access.</w:t>
      </w:r>
    </w:p>
    <w:p>
      <w:pPr>
        <w:pStyle w:val="ListParagraph"/>
        <w:numPr>
          <w:ilvl w:val="0"/>
          <w:numId w:val="2"/>
        </w:numPr>
        <w:spacing w:after="90"/>
      </w:pPr>
      <w:r>
        <w:t xml:space="preserve">Operational: the default pipeline keeps limited conversation context, and saved model files depend on the installed scikit-learn version; stored facts become stale unless the sources and model are refreshed.</w:t>
      </w:r>
    </w:p>
    <w:p>
      <w:pPr>
        <w:pStyle w:val="ListParagraph"/>
        <w:numPr>
          <w:ilvl w:val="0"/>
          <w:numId w:val="2"/>
        </w:numPr>
        <w:spacing w:after="90"/>
      </w:pPr>
      <w:r>
        <w:t xml:space="preserve">Measurement honesty: accuracy has so far been measured only on synthetic data; real-world misclassification behaviour and abstention quality are not yet characterised on a naturally collected set.</w:t>
      </w:r>
    </w:p>
    <w:p>
      <w:pPr>
        <w:pStyle w:val="Heading1"/>
      </w:pPr>
      <w:r>
        <w:t xml:space="preserve">8. Research Perspective / Improvement</w:t>
      </w:r>
    </w:p>
    <w:p>
      <w:pPr>
        <w:spacing w:after="120"/>
      </w:pPr>
      <w:r>
        <w:rPr>
          <w:b/>
          <w:bCs/>
        </w:rPr>
        <w:t xml:space="preserve">Gap: </w:t>
      </w:r>
      <w:r>
        <w:t xml:space="preserve">evaluation on a synthetic, templated benchmark yields perfect scores that do not reflect how real students phrase questions, and the default retrieval is lexical (surface-word) rather than semantic, so paraphrases and unseen wording can be missed.</w:t>
      </w:r>
    </w:p>
    <w:p>
      <w:pPr>
        <w:spacing w:after="120"/>
      </w:pPr>
      <w:r>
        <w:rPr>
          <w:b/>
          <w:bCs/>
        </w:rPr>
        <w:t xml:space="preserve">Proposed improvement: </w:t>
      </w:r>
      <w:r>
        <w:t xml:space="preserve">evaluate on a real, naturally collected student-query set and report precision, recall, macro-F1, a confusion matrix, abstention accuracy and out-of-scope rejection rate — not accuracy alone. Tune the intent-confidence and retrieval-score thresholds against that set, and add sentence-embedding retrieval (e.g. MiniLM or BGE) compared against the TF-IDF baseline using the retrieval qrels.</w:t>
      </w:r>
    </w:p>
    <w:p>
      <w:pPr>
        <w:spacing w:after="120"/>
      </w:pPr>
      <w:r>
        <w:rPr>
          <w:b/>
          <w:bCs/>
        </w:rPr>
        <w:t xml:space="preserve">Future work: </w:t>
      </w:r>
      <w:r>
        <w:t xml:space="preserve">enable the advanced RAG layer (hybrid dense + sparse retrieval, cross-encoder reranking and grounded LLM generation with strict fact-checking) on approved institutional sources; expand the knowledge base from thin fixtures to full curriculum and regulation documents; add spelling correction, follow-up conversational context and Telugu/multilingual input; and provide staff tooling to update answers plus query logging and analytics.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CampusNLP — NLP Case Study Analysis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2026-10-11T15:36:07.558Z</dcterms:created>
  <dcterms:modified xsi:type="dcterms:W3CDTF">2026-10-11T15:36:07.561Z</dcterms:modified>
</cp:coreProperties>
</file>

<file path=docProps/custom.xml><?xml version="1.0" encoding="utf-8"?>
<Properties xmlns="http://schemas.openxmlformats.org/officeDocument/2006/custom-properties" xmlns:vt="http://schemas.openxmlformats.org/officeDocument/2006/docPropsVTypes"/>
</file>