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65D"/>
          <w:sz w:val="54"/>
        </w:rPr>
        <w:t>TELCO CUSTOMER CHURN</w:t>
        <w:br/>
        <w:t>ANALYSIS &amp; PREDICTION</w:t>
      </w:r>
    </w:p>
    <w:p>
      <w:pPr>
        <w:jc w:val="center"/>
      </w:pPr>
      <w:r>
        <w:rPr>
          <w:color w:val="595959"/>
          <w:sz w:val="24"/>
        </w:rPr>
        <w:t>Exploratory Data Analysis • Data Preprocessing • Classification Models</w:t>
      </w:r>
    </w:p>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7365D"/>
          </w:tcPr>
          <w:p>
            <w:pPr>
              <w:spacing w:after="0"/>
            </w:pPr>
            <w:r/>
            <w:r>
              <w:rPr>
                <w:rFonts w:ascii="Aptos" w:hAnsi="Aptos"/>
                <w:b/>
                <w:color w:val="FFFFFF"/>
                <w:sz w:val="18"/>
              </w:rPr>
              <w:t>Project detail</w:t>
            </w:r>
          </w:p>
        </w:tc>
        <w:tc>
          <w:tcPr>
            <w:tcW w:type="dxa" w:w="8064"/>
            <w:vAlign w:val="center"/>
            <w:shd w:fill="17365D"/>
          </w:tcPr>
          <w:p>
            <w:pPr>
              <w:spacing w:after="0"/>
            </w:pPr>
            <w:r/>
            <w:r>
              <w:rPr>
                <w:rFonts w:ascii="Aptos" w:hAnsi="Aptos"/>
                <w:b/>
                <w:color w:val="FFFFFF"/>
                <w:sz w:val="18"/>
              </w:rPr>
              <w:t>Description</w:t>
            </w:r>
          </w:p>
        </w:tc>
      </w:tr>
      <w:tr>
        <w:tc>
          <w:tcPr>
            <w:tcW w:type="dxa" w:w="2304"/>
            <w:vAlign w:val="center"/>
          </w:tcPr>
          <w:p>
            <w:pPr>
              <w:spacing w:after="0"/>
            </w:pPr>
            <w:r/>
            <w:r>
              <w:rPr>
                <w:rFonts w:ascii="Aptos" w:hAnsi="Aptos"/>
                <w:b w:val="0"/>
                <w:sz w:val="18"/>
              </w:rPr>
              <w:t>Project type</w:t>
            </w:r>
          </w:p>
        </w:tc>
        <w:tc>
          <w:tcPr>
            <w:tcW w:type="dxa" w:w="8064"/>
            <w:vAlign w:val="center"/>
          </w:tcPr>
          <w:p>
            <w:pPr>
              <w:spacing w:after="0"/>
            </w:pPr>
            <w:r/>
            <w:r>
              <w:rPr>
                <w:rFonts w:ascii="Aptos" w:hAnsi="Aptos"/>
                <w:b w:val="0"/>
                <w:sz w:val="18"/>
              </w:rPr>
              <w:t>End-to-end data analysis and machine learning classification</w:t>
            </w:r>
          </w:p>
        </w:tc>
      </w:tr>
      <w:tr>
        <w:tc>
          <w:tcPr>
            <w:tcW w:type="dxa" w:w="2304"/>
            <w:vAlign w:val="center"/>
            <w:shd w:fill="F2F6FA"/>
          </w:tcPr>
          <w:p>
            <w:pPr>
              <w:spacing w:after="0"/>
            </w:pPr>
            <w:r/>
            <w:r>
              <w:rPr>
                <w:rFonts w:ascii="Aptos" w:hAnsi="Aptos"/>
                <w:b w:val="0"/>
                <w:sz w:val="18"/>
              </w:rPr>
              <w:t>Dataset</w:t>
            </w:r>
          </w:p>
        </w:tc>
        <w:tc>
          <w:tcPr>
            <w:tcW w:type="dxa" w:w="8064"/>
            <w:vAlign w:val="center"/>
            <w:shd w:fill="F2F6FA"/>
          </w:tcPr>
          <w:p>
            <w:pPr>
              <w:spacing w:after="0"/>
            </w:pPr>
            <w:r/>
            <w:r>
              <w:rPr>
                <w:rFonts w:ascii="Aptos" w:hAnsi="Aptos"/>
                <w:b w:val="0"/>
                <w:sz w:val="18"/>
              </w:rPr>
              <w:t>Telco Customer Churn dataset (7,043 records; 21 original columns)</w:t>
            </w:r>
          </w:p>
        </w:tc>
      </w:tr>
      <w:tr>
        <w:tc>
          <w:tcPr>
            <w:tcW w:type="dxa" w:w="2304"/>
            <w:vAlign w:val="center"/>
          </w:tcPr>
          <w:p>
            <w:pPr>
              <w:spacing w:after="0"/>
            </w:pPr>
            <w:r/>
            <w:r>
              <w:rPr>
                <w:rFonts w:ascii="Aptos" w:hAnsi="Aptos"/>
                <w:b w:val="0"/>
                <w:sz w:val="18"/>
              </w:rPr>
              <w:t>Primary target</w:t>
            </w:r>
          </w:p>
        </w:tc>
        <w:tc>
          <w:tcPr>
            <w:tcW w:type="dxa" w:w="8064"/>
            <w:vAlign w:val="center"/>
          </w:tcPr>
          <w:p>
            <w:pPr>
              <w:spacing w:after="0"/>
            </w:pPr>
            <w:r/>
            <w:r>
              <w:rPr>
                <w:rFonts w:ascii="Aptos" w:hAnsi="Aptos"/>
                <w:b w:val="0"/>
                <w:sz w:val="18"/>
              </w:rPr>
              <w:t>Churn (Yes / No)</w:t>
            </w:r>
          </w:p>
        </w:tc>
      </w:tr>
      <w:tr>
        <w:tc>
          <w:tcPr>
            <w:tcW w:type="dxa" w:w="2304"/>
            <w:vAlign w:val="center"/>
            <w:shd w:fill="F2F6FA"/>
          </w:tcPr>
          <w:p>
            <w:pPr>
              <w:spacing w:after="0"/>
            </w:pPr>
            <w:r/>
            <w:r>
              <w:rPr>
                <w:rFonts w:ascii="Aptos" w:hAnsi="Aptos"/>
                <w:b w:val="0"/>
                <w:sz w:val="18"/>
              </w:rPr>
              <w:t>Selected candidate model</w:t>
            </w:r>
          </w:p>
        </w:tc>
        <w:tc>
          <w:tcPr>
            <w:tcW w:type="dxa" w:w="8064"/>
            <w:vAlign w:val="center"/>
            <w:shd w:fill="F2F6FA"/>
          </w:tcPr>
          <w:p>
            <w:pPr>
              <w:spacing w:after="0"/>
            </w:pPr>
            <w:r/>
            <w:r>
              <w:rPr>
                <w:rFonts w:ascii="Aptos" w:hAnsi="Aptos"/>
                <w:b w:val="0"/>
                <w:sz w:val="18"/>
              </w:rPr>
              <w:t>Logistic Regression (baseline evaluation completed)</w:t>
            </w:r>
          </w:p>
        </w:tc>
      </w:tr>
      <w:tr>
        <w:tc>
          <w:tcPr>
            <w:tcW w:type="dxa" w:w="2304"/>
            <w:vAlign w:val="center"/>
          </w:tcPr>
          <w:p>
            <w:pPr>
              <w:spacing w:after="0"/>
            </w:pPr>
            <w:r/>
            <w:r>
              <w:rPr>
                <w:rFonts w:ascii="Aptos" w:hAnsi="Aptos"/>
                <w:b w:val="0"/>
                <w:sz w:val="18"/>
              </w:rPr>
              <w:t>Other model evaluated</w:t>
            </w:r>
          </w:p>
        </w:tc>
        <w:tc>
          <w:tcPr>
            <w:tcW w:type="dxa" w:w="8064"/>
            <w:vAlign w:val="center"/>
          </w:tcPr>
          <w:p>
            <w:pPr>
              <w:spacing w:after="0"/>
            </w:pPr>
            <w:r/>
            <w:r>
              <w:rPr>
                <w:rFonts w:ascii="Aptos" w:hAnsi="Aptos"/>
                <w:b w:val="0"/>
                <w:sz w:val="18"/>
              </w:rPr>
              <w:t>XGBoost Classifier with RandomizedSearchCV</w:t>
            </w:r>
          </w:p>
        </w:tc>
      </w:tr>
      <w:tr>
        <w:tc>
          <w:tcPr>
            <w:tcW w:type="dxa" w:w="2304"/>
            <w:vAlign w:val="center"/>
            <w:shd w:fill="F2F6FA"/>
          </w:tcPr>
          <w:p>
            <w:pPr>
              <w:spacing w:after="0"/>
            </w:pPr>
            <w:r/>
            <w:r>
              <w:rPr>
                <w:rFonts w:ascii="Aptos" w:hAnsi="Aptos"/>
                <w:b w:val="0"/>
                <w:sz w:val="18"/>
              </w:rPr>
              <w:t>Tools</w:t>
            </w:r>
          </w:p>
        </w:tc>
        <w:tc>
          <w:tcPr>
            <w:tcW w:type="dxa" w:w="8064"/>
            <w:vAlign w:val="center"/>
            <w:shd w:fill="F2F6FA"/>
          </w:tcPr>
          <w:p>
            <w:pPr>
              <w:spacing w:after="0"/>
            </w:pPr>
            <w:r/>
            <w:r>
              <w:rPr>
                <w:rFonts w:ascii="Aptos" w:hAnsi="Aptos"/>
                <w:b w:val="0"/>
                <w:sz w:val="18"/>
              </w:rPr>
              <w:t>Python, Pandas, NumPy, Matplotlib, Seaborn, Scikit-learn, XGBoost, Jupyter Notebook</w:t>
            </w:r>
          </w:p>
        </w:tc>
      </w:tr>
    </w:tbl>
    <w:p/>
    <w:p>
      <w:pPr>
        <w:jc w:val="center"/>
      </w:pPr>
      <w:r>
        <w:rPr>
          <w:i/>
          <w:color w:val="646464"/>
          <w:sz w:val="18"/>
        </w:rPr>
        <w:t>Prepared from the project work and evaluation outputs available as of 27 October 2026</w:t>
      </w:r>
    </w:p>
    <w:p>
      <w:r>
        <w:br w:type="page"/>
      </w:r>
    </w:p>
    <w:p>
      <w:pPr>
        <w:pStyle w:val="Heading1"/>
      </w:pPr>
      <w:r>
        <w:t>1. Executive Summary</w:t>
      </w:r>
    </w:p>
    <w:p>
      <w:r>
        <w:t>This project investigates customer churn in a telecommunications dataset and builds machine learning models to identify customers who may discontinue a service. The work includes data inspection and cleaning, exploratory data analysis (EDA), a train/test split, a reusable preprocessing pipeline, and evaluation of Logistic Regression and XGBoost.</w:t>
      </w:r>
    </w:p>
    <w:p>
      <w:r>
        <w:t>The dataset contains 7,043 customers, of whom 1,869 (26.54%) are marked as churned. EDA found strong associations between churn and contract type, payment method, and customer tenure. Month-to-month customers had a churn rate of 42.71%, while two-year contract customers had a churn rate of 2.83%.</w:t>
      </w:r>
    </w:p>
    <w:p>
      <w:r>
        <w:t>On the held-out test set, baseline Logistic Regression achieved 80.55% accuracy and a ROC-AUC of 0.8419. Tuned XGBoost achieved 80.91% accuracy and a ROC-AUC of 0.8466. Logistic Regression had better churn recall (55.88% versus 52.94%) and churn F1-score (60.40% versus 59.55%), so it was selected as the preferred model candidate for interpretability and its current churn-focused performance. Logistic Regression hyperparameter tuning was planned but no completed tuning results were available when this report was prepared.</w:t>
      </w:r>
    </w:p>
    <w:p>
      <w:pPr>
        <w:pStyle w:val="Heading1"/>
      </w:pPr>
      <w:r>
        <w:t>2. Business Problem and Objectives</w:t>
      </w:r>
    </w:p>
    <w:p>
      <w:r>
        <w:t>Customer churn can affect recurring revenue and increase the need to acquire replacement customers. The analytical objective is to understand which customer and service characteristics are associated with churn and to evaluate whether customer records can be used to predict churn risk.</w:t>
      </w:r>
    </w:p>
    <w:p>
      <w:pPr>
        <w:pStyle w:val="Heading2"/>
      </w:pPr>
      <w:r>
        <w:t>Objectives</w:t>
      </w:r>
    </w:p>
    <w:p>
      <w:pPr>
        <w:pStyle w:val="ListBullet"/>
      </w:pPr>
      <w:r>
        <w:t>Quantify churn prevalence and examine the target-class distribution.</w:t>
      </w:r>
    </w:p>
    <w:p>
      <w:pPr>
        <w:pStyle w:val="ListBullet"/>
      </w:pPr>
      <w:r>
        <w:t>Explore tenure, monthly charges, total charges, contract type, and payment method in relation to churn.</w:t>
      </w:r>
    </w:p>
    <w:p>
      <w:pPr>
        <w:pStyle w:val="ListBullet"/>
      </w:pPr>
      <w:r>
        <w:t>Clean data types and handle missing values through a reproducible pipeline.</w:t>
      </w:r>
    </w:p>
    <w:p>
      <w:pPr>
        <w:pStyle w:val="ListBullet"/>
      </w:pPr>
      <w:r>
        <w:t>Train and evaluate binary classifiers using a held-out test set.</w:t>
      </w:r>
    </w:p>
    <w:p>
      <w:pPr>
        <w:pStyle w:val="ListBullet"/>
      </w:pPr>
      <w:r>
        <w:t>Compare models using accuracy, precision, recall, F1-score, and ROC-AUC.</w:t>
      </w:r>
    </w:p>
    <w:p>
      <w:pPr>
        <w:pStyle w:val="ListBullet"/>
      </w:pPr>
      <w:r>
        <w:t>Identify limitations and next steps for a more reliable business-oriented churn solution.</w:t>
      </w:r>
    </w:p>
    <w:p>
      <w:pPr>
        <w:pStyle w:val="Heading1"/>
      </w:pPr>
      <w:r>
        <w:t>3. Dataset Overview</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17365D"/>
          </w:tcPr>
          <w:p>
            <w:pPr>
              <w:spacing w:after="0"/>
            </w:pPr>
            <w:r/>
            <w:r>
              <w:rPr>
                <w:rFonts w:ascii="Aptos" w:hAnsi="Aptos"/>
                <w:b/>
                <w:color w:val="FFFFFF"/>
                <w:sz w:val="18"/>
              </w:rPr>
              <w:t>Property</w:t>
            </w:r>
          </w:p>
        </w:tc>
        <w:tc>
          <w:tcPr>
            <w:tcW w:type="dxa" w:w="6624"/>
            <w:vAlign w:val="center"/>
            <w:shd w:fill="17365D"/>
          </w:tcPr>
          <w:p>
            <w:pPr>
              <w:spacing w:after="0"/>
            </w:pPr>
            <w:r/>
            <w:r>
              <w:rPr>
                <w:rFonts w:ascii="Aptos" w:hAnsi="Aptos"/>
                <w:b/>
                <w:color w:val="FFFFFF"/>
                <w:sz w:val="18"/>
              </w:rPr>
              <w:t>Value</w:t>
            </w:r>
          </w:p>
        </w:tc>
      </w:tr>
      <w:tr>
        <w:tc>
          <w:tcPr>
            <w:tcW w:type="dxa" w:w="3744"/>
            <w:vAlign w:val="center"/>
          </w:tcPr>
          <w:p>
            <w:pPr>
              <w:spacing w:after="0"/>
            </w:pPr>
            <w:r/>
            <w:r>
              <w:rPr>
                <w:rFonts w:ascii="Aptos" w:hAnsi="Aptos"/>
                <w:b w:val="0"/>
                <w:sz w:val="18"/>
              </w:rPr>
              <w:t>Rows</w:t>
            </w:r>
          </w:p>
        </w:tc>
        <w:tc>
          <w:tcPr>
            <w:tcW w:type="dxa" w:w="6624"/>
            <w:vAlign w:val="center"/>
          </w:tcPr>
          <w:p>
            <w:pPr>
              <w:spacing w:after="0"/>
            </w:pPr>
            <w:r/>
            <w:r>
              <w:rPr>
                <w:rFonts w:ascii="Aptos" w:hAnsi="Aptos"/>
                <w:b w:val="0"/>
                <w:sz w:val="18"/>
              </w:rPr>
              <w:t>7,043</w:t>
            </w:r>
          </w:p>
        </w:tc>
      </w:tr>
      <w:tr>
        <w:tc>
          <w:tcPr>
            <w:tcW w:type="dxa" w:w="3744"/>
            <w:vAlign w:val="center"/>
            <w:shd w:fill="F2F6FA"/>
          </w:tcPr>
          <w:p>
            <w:pPr>
              <w:spacing w:after="0"/>
            </w:pPr>
            <w:r/>
            <w:r>
              <w:rPr>
                <w:rFonts w:ascii="Aptos" w:hAnsi="Aptos"/>
                <w:b w:val="0"/>
                <w:sz w:val="18"/>
              </w:rPr>
              <w:t>Original columns</w:t>
            </w:r>
          </w:p>
        </w:tc>
        <w:tc>
          <w:tcPr>
            <w:tcW w:type="dxa" w:w="6624"/>
            <w:vAlign w:val="center"/>
            <w:shd w:fill="F2F6FA"/>
          </w:tcPr>
          <w:p>
            <w:pPr>
              <w:spacing w:after="0"/>
            </w:pPr>
            <w:r/>
            <w:r>
              <w:rPr>
                <w:rFonts w:ascii="Aptos" w:hAnsi="Aptos"/>
                <w:b w:val="0"/>
                <w:sz w:val="18"/>
              </w:rPr>
              <w:t>21</w:t>
            </w:r>
          </w:p>
        </w:tc>
      </w:tr>
      <w:tr>
        <w:tc>
          <w:tcPr>
            <w:tcW w:type="dxa" w:w="3744"/>
            <w:vAlign w:val="center"/>
          </w:tcPr>
          <w:p>
            <w:pPr>
              <w:spacing w:after="0"/>
            </w:pPr>
            <w:r/>
            <w:r>
              <w:rPr>
                <w:rFonts w:ascii="Aptos" w:hAnsi="Aptos"/>
                <w:b w:val="0"/>
                <w:sz w:val="18"/>
              </w:rPr>
              <w:t>Target variable</w:t>
            </w:r>
          </w:p>
        </w:tc>
        <w:tc>
          <w:tcPr>
            <w:tcW w:type="dxa" w:w="6624"/>
            <w:vAlign w:val="center"/>
          </w:tcPr>
          <w:p>
            <w:pPr>
              <w:spacing w:after="0"/>
            </w:pPr>
            <w:r/>
            <w:r>
              <w:rPr>
                <w:rFonts w:ascii="Aptos" w:hAnsi="Aptos"/>
                <w:b w:val="0"/>
                <w:sz w:val="18"/>
              </w:rPr>
              <w:t>Churn</w:t>
            </w:r>
          </w:p>
        </w:tc>
      </w:tr>
      <w:tr>
        <w:tc>
          <w:tcPr>
            <w:tcW w:type="dxa" w:w="3744"/>
            <w:vAlign w:val="center"/>
            <w:shd w:fill="F2F6FA"/>
          </w:tcPr>
          <w:p>
            <w:pPr>
              <w:spacing w:after="0"/>
            </w:pPr>
            <w:r/>
            <w:r>
              <w:rPr>
                <w:rFonts w:ascii="Aptos" w:hAnsi="Aptos"/>
                <w:b w:val="0"/>
                <w:sz w:val="18"/>
              </w:rPr>
              <w:t>No churn</w:t>
            </w:r>
          </w:p>
        </w:tc>
        <w:tc>
          <w:tcPr>
            <w:tcW w:type="dxa" w:w="6624"/>
            <w:vAlign w:val="center"/>
            <w:shd w:fill="F2F6FA"/>
          </w:tcPr>
          <w:p>
            <w:pPr>
              <w:spacing w:after="0"/>
            </w:pPr>
            <w:r/>
            <w:r>
              <w:rPr>
                <w:rFonts w:ascii="Aptos" w:hAnsi="Aptos"/>
                <w:b w:val="0"/>
                <w:sz w:val="18"/>
              </w:rPr>
              <w:t>5,174 (73.46%)</w:t>
            </w:r>
          </w:p>
        </w:tc>
      </w:tr>
      <w:tr>
        <w:tc>
          <w:tcPr>
            <w:tcW w:type="dxa" w:w="3744"/>
            <w:vAlign w:val="center"/>
          </w:tcPr>
          <w:p>
            <w:pPr>
              <w:spacing w:after="0"/>
            </w:pPr>
            <w:r/>
            <w:r>
              <w:rPr>
                <w:rFonts w:ascii="Aptos" w:hAnsi="Aptos"/>
                <w:b w:val="0"/>
                <w:sz w:val="18"/>
              </w:rPr>
              <w:t>Churn</w:t>
            </w:r>
          </w:p>
        </w:tc>
        <w:tc>
          <w:tcPr>
            <w:tcW w:type="dxa" w:w="6624"/>
            <w:vAlign w:val="center"/>
          </w:tcPr>
          <w:p>
            <w:pPr>
              <w:spacing w:after="0"/>
            </w:pPr>
            <w:r/>
            <w:r>
              <w:rPr>
                <w:rFonts w:ascii="Aptos" w:hAnsi="Aptos"/>
                <w:b w:val="0"/>
                <w:sz w:val="18"/>
              </w:rPr>
              <w:t>1,869 (26.54%)</w:t>
            </w:r>
          </w:p>
        </w:tc>
      </w:tr>
      <w:tr>
        <w:tc>
          <w:tcPr>
            <w:tcW w:type="dxa" w:w="3744"/>
            <w:vAlign w:val="center"/>
            <w:shd w:fill="F2F6FA"/>
          </w:tcPr>
          <w:p>
            <w:pPr>
              <w:spacing w:after="0"/>
            </w:pPr>
            <w:r/>
            <w:r>
              <w:rPr>
                <w:rFonts w:ascii="Aptos" w:hAnsi="Aptos"/>
                <w:b w:val="0"/>
                <w:sz w:val="18"/>
              </w:rPr>
              <w:t>Feature columns used for modelling</w:t>
            </w:r>
          </w:p>
        </w:tc>
        <w:tc>
          <w:tcPr>
            <w:tcW w:type="dxa" w:w="6624"/>
            <w:vAlign w:val="center"/>
            <w:shd w:fill="F2F6FA"/>
          </w:tcPr>
          <w:p>
            <w:pPr>
              <w:spacing w:after="0"/>
            </w:pPr>
            <w:r/>
            <w:r>
              <w:rPr>
                <w:rFonts w:ascii="Aptos" w:hAnsi="Aptos"/>
                <w:b w:val="0"/>
                <w:sz w:val="18"/>
              </w:rPr>
              <w:t>19 after excluding Churn and customerID</w:t>
            </w:r>
          </w:p>
        </w:tc>
      </w:tr>
      <w:tr>
        <w:tc>
          <w:tcPr>
            <w:tcW w:type="dxa" w:w="3744"/>
            <w:vAlign w:val="center"/>
          </w:tcPr>
          <w:p>
            <w:pPr>
              <w:spacing w:after="0"/>
            </w:pPr>
            <w:r/>
            <w:r>
              <w:rPr>
                <w:rFonts w:ascii="Aptos" w:hAnsi="Aptos"/>
                <w:b w:val="0"/>
                <w:sz w:val="18"/>
              </w:rPr>
              <w:t>Train/test split</w:t>
            </w:r>
          </w:p>
        </w:tc>
        <w:tc>
          <w:tcPr>
            <w:tcW w:type="dxa" w:w="6624"/>
            <w:vAlign w:val="center"/>
          </w:tcPr>
          <w:p>
            <w:pPr>
              <w:spacing w:after="0"/>
            </w:pPr>
            <w:r/>
            <w:r>
              <w:rPr>
                <w:rFonts w:ascii="Aptos" w:hAnsi="Aptos"/>
                <w:b w:val="0"/>
                <w:sz w:val="18"/>
              </w:rPr>
              <w:t>80% / 20%, stratified</w:t>
            </w:r>
          </w:p>
        </w:tc>
      </w:tr>
      <w:tr>
        <w:tc>
          <w:tcPr>
            <w:tcW w:type="dxa" w:w="3744"/>
            <w:vAlign w:val="center"/>
            <w:shd w:fill="F2F6FA"/>
          </w:tcPr>
          <w:p>
            <w:pPr>
              <w:spacing w:after="0"/>
            </w:pPr>
            <w:r/>
            <w:r>
              <w:rPr>
                <w:rFonts w:ascii="Aptos" w:hAnsi="Aptos"/>
                <w:b w:val="0"/>
                <w:sz w:val="18"/>
              </w:rPr>
              <w:t>Training set</w:t>
            </w:r>
          </w:p>
        </w:tc>
        <w:tc>
          <w:tcPr>
            <w:tcW w:type="dxa" w:w="6624"/>
            <w:vAlign w:val="center"/>
            <w:shd w:fill="F2F6FA"/>
          </w:tcPr>
          <w:p>
            <w:pPr>
              <w:spacing w:after="0"/>
            </w:pPr>
            <w:r/>
            <w:r>
              <w:rPr>
                <w:rFonts w:ascii="Aptos" w:hAnsi="Aptos"/>
                <w:b w:val="0"/>
                <w:sz w:val="18"/>
              </w:rPr>
              <w:t>5,634 records</w:t>
            </w:r>
          </w:p>
        </w:tc>
      </w:tr>
      <w:tr>
        <w:tc>
          <w:tcPr>
            <w:tcW w:type="dxa" w:w="3744"/>
            <w:vAlign w:val="center"/>
          </w:tcPr>
          <w:p>
            <w:pPr>
              <w:spacing w:after="0"/>
            </w:pPr>
            <w:r/>
            <w:r>
              <w:rPr>
                <w:rFonts w:ascii="Aptos" w:hAnsi="Aptos"/>
                <w:b w:val="0"/>
                <w:sz w:val="18"/>
              </w:rPr>
              <w:t>Test set</w:t>
            </w:r>
          </w:p>
        </w:tc>
        <w:tc>
          <w:tcPr>
            <w:tcW w:type="dxa" w:w="6624"/>
            <w:vAlign w:val="center"/>
          </w:tcPr>
          <w:p>
            <w:pPr>
              <w:spacing w:after="0"/>
            </w:pPr>
            <w:r/>
            <w:r>
              <w:rPr>
                <w:rFonts w:ascii="Aptos" w:hAnsi="Aptos"/>
                <w:b w:val="0"/>
                <w:sz w:val="18"/>
              </w:rPr>
              <w:t>1,409 records</w:t>
            </w:r>
          </w:p>
        </w:tc>
      </w:tr>
    </w:tbl>
    <w:p/>
    <w:p>
      <w:r>
        <w:t>The target was encoded as No = 0 and Yes = 1. The customerID field was excluded from model inputs because it is an identifier, not a meaningful customer behaviour feature.</w:t>
      </w:r>
    </w:p>
    <w:p>
      <w:pPr>
        <w:pStyle w:val="Heading1"/>
      </w:pPr>
      <w:r>
        <w:t>4. Data Cleaning and Preprocessing</w:t>
      </w:r>
    </w:p>
    <w:p>
      <w:pPr>
        <w:pStyle w:val="Heading2"/>
      </w:pPr>
      <w:r>
        <w:t>4.1 TotalCharges data type and missing values</w:t>
      </w:r>
    </w:p>
    <w:p>
      <w:r>
        <w:t>TotalCharges was initially stored as text. It was converted to a numeric nullable floating-point type after stripping whitespace and coercing non-numeric values to missing. This revealed 11 missing TotalCharges values; all 11 corresponded to customers with tenure equal to zero. The original raw dataset was preserved, and the missing records were not deleted simply to remove nulls.</w:t>
      </w:r>
    </w:p>
    <w:p>
      <w:pPr>
        <w:pStyle w:val="Heading2"/>
      </w:pPr>
      <w:r>
        <w:t>4.2 Feature groups</w:t>
      </w:r>
    </w:p>
    <w:p>
      <w:pPr>
        <w:pStyle w:val="ListBullet"/>
      </w:pPr>
      <w:r>
        <w:t>Numerical features: tenure, MonthlyCharges, TotalCharges.</w:t>
      </w:r>
    </w:p>
    <w:p>
      <w:pPr>
        <w:pStyle w:val="ListBullet"/>
      </w:pPr>
      <w:r>
        <w:t>Categorical features: the remaining 16 predictors, including binary service indicators and SeniorCitizen.</w:t>
      </w:r>
    </w:p>
    <w:p>
      <w:pPr>
        <w:pStyle w:val="Heading2"/>
      </w:pPr>
      <w:r>
        <w:t>4.3 Pipeline design</w:t>
      </w:r>
    </w:p>
    <w:p>
      <w:pPr>
        <w:pStyle w:val="ListBullet"/>
      </w:pPr>
      <w:r>
        <w:t>Numerical pipeline: median imputation followed by StandardScaler.</w:t>
      </w:r>
    </w:p>
    <w:p>
      <w:pPr>
        <w:pStyle w:val="ListBullet"/>
      </w:pPr>
      <w:r>
        <w:t>Categorical pipeline: most-frequent imputation followed by OneHotEncoder(handle_unknown='ignore').</w:t>
      </w:r>
    </w:p>
    <w:p>
      <w:pPr>
        <w:pStyle w:val="ListBullet"/>
      </w:pPr>
      <w:r>
        <w:t>ColumnTransformer combines both paths; a Scikit-learn Pipeline links preprocessing to the classifier.</w:t>
      </w:r>
    </w:p>
    <w:p>
      <w:r>
        <w:t>The data was split before fitting the preprocessing pipeline. This helps prevent information from the test set being used to learn imputation values, scaling statistics, or category encodings. Stratification preserved the target distribution in both train and test partitions.</w:t>
      </w:r>
    </w:p>
    <w:p>
      <w:pPr>
        <w:pStyle w:val="Heading1"/>
      </w:pPr>
      <w:r>
        <w:t>5. Exploratory Data Analysis Findings</w:t>
      </w:r>
    </w:p>
    <w:p>
      <w:pPr>
        <w:pStyle w:val="Heading2"/>
      </w:pPr>
      <w:r>
        <w:t>5.1 Churn distribution</w:t>
      </w:r>
    </w:p>
    <w:p>
      <w:r>
        <w:t>The churn rate was 26.54%, while 73.46% of customers did not churn. This is a moderate class imbalance, so accuracy alone is insufficient. Precision, recall, F1-score, ROC-AUC, and the confusion matrix are also reported.</w:t>
      </w:r>
    </w:p>
    <w:p>
      <w:pPr>
        <w:pStyle w:val="Heading2"/>
      </w:pPr>
      <w:r>
        <w:t>5.2 Tenure</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17365D"/>
          </w:tcPr>
          <w:p>
            <w:pPr>
              <w:spacing w:after="0"/>
            </w:pPr>
            <w:r/>
            <w:r>
              <w:rPr>
                <w:rFonts w:ascii="Aptos" w:hAnsi="Aptos"/>
                <w:b/>
                <w:color w:val="FFFFFF"/>
                <w:sz w:val="18"/>
              </w:rPr>
              <w:t>Statistic</w:t>
            </w:r>
          </w:p>
        </w:tc>
        <w:tc>
          <w:tcPr>
            <w:tcW w:type="dxa" w:w="6624"/>
            <w:vAlign w:val="center"/>
            <w:shd w:fill="17365D"/>
          </w:tcPr>
          <w:p>
            <w:pPr>
              <w:spacing w:after="0"/>
            </w:pPr>
            <w:r/>
            <w:r>
              <w:rPr>
                <w:rFonts w:ascii="Aptos" w:hAnsi="Aptos"/>
                <w:b/>
                <w:color w:val="FFFFFF"/>
                <w:sz w:val="18"/>
              </w:rPr>
              <w:t>Tenure (months)</w:t>
            </w:r>
          </w:p>
        </w:tc>
      </w:tr>
      <w:tr>
        <w:tc>
          <w:tcPr>
            <w:tcW w:type="dxa" w:w="3744"/>
            <w:vAlign w:val="center"/>
          </w:tcPr>
          <w:p>
            <w:pPr>
              <w:spacing w:after="0"/>
            </w:pPr>
            <w:r/>
            <w:r>
              <w:rPr>
                <w:rFonts w:ascii="Aptos" w:hAnsi="Aptos"/>
                <w:b w:val="0"/>
                <w:sz w:val="18"/>
              </w:rPr>
              <w:t>Mean</w:t>
            </w:r>
          </w:p>
        </w:tc>
        <w:tc>
          <w:tcPr>
            <w:tcW w:type="dxa" w:w="6624"/>
            <w:vAlign w:val="center"/>
          </w:tcPr>
          <w:p>
            <w:pPr>
              <w:spacing w:after="0"/>
            </w:pPr>
            <w:r/>
            <w:r>
              <w:rPr>
                <w:rFonts w:ascii="Aptos" w:hAnsi="Aptos"/>
                <w:b w:val="0"/>
                <w:sz w:val="18"/>
              </w:rPr>
              <w:t>32.37</w:t>
            </w:r>
          </w:p>
        </w:tc>
      </w:tr>
      <w:tr>
        <w:tc>
          <w:tcPr>
            <w:tcW w:type="dxa" w:w="3744"/>
            <w:vAlign w:val="center"/>
            <w:shd w:fill="F2F6FA"/>
          </w:tcPr>
          <w:p>
            <w:pPr>
              <w:spacing w:after="0"/>
            </w:pPr>
            <w:r/>
            <w:r>
              <w:rPr>
                <w:rFonts w:ascii="Aptos" w:hAnsi="Aptos"/>
                <w:b w:val="0"/>
                <w:sz w:val="18"/>
              </w:rPr>
              <w:t>Median</w:t>
            </w:r>
          </w:p>
        </w:tc>
        <w:tc>
          <w:tcPr>
            <w:tcW w:type="dxa" w:w="6624"/>
            <w:vAlign w:val="center"/>
            <w:shd w:fill="F2F6FA"/>
          </w:tcPr>
          <w:p>
            <w:pPr>
              <w:spacing w:after="0"/>
            </w:pPr>
            <w:r/>
            <w:r>
              <w:rPr>
                <w:rFonts w:ascii="Aptos" w:hAnsi="Aptos"/>
                <w:b w:val="0"/>
                <w:sz w:val="18"/>
              </w:rPr>
              <w:t>29</w:t>
            </w:r>
          </w:p>
        </w:tc>
      </w:tr>
      <w:tr>
        <w:tc>
          <w:tcPr>
            <w:tcW w:type="dxa" w:w="3744"/>
            <w:vAlign w:val="center"/>
          </w:tcPr>
          <w:p>
            <w:pPr>
              <w:spacing w:after="0"/>
            </w:pPr>
            <w:r/>
            <w:r>
              <w:rPr>
                <w:rFonts w:ascii="Aptos" w:hAnsi="Aptos"/>
                <w:b w:val="0"/>
                <w:sz w:val="18"/>
              </w:rPr>
              <w:t>25th percentile</w:t>
            </w:r>
          </w:p>
        </w:tc>
        <w:tc>
          <w:tcPr>
            <w:tcW w:type="dxa" w:w="6624"/>
            <w:vAlign w:val="center"/>
          </w:tcPr>
          <w:p>
            <w:pPr>
              <w:spacing w:after="0"/>
            </w:pPr>
            <w:r/>
            <w:r>
              <w:rPr>
                <w:rFonts w:ascii="Aptos" w:hAnsi="Aptos"/>
                <w:b w:val="0"/>
                <w:sz w:val="18"/>
              </w:rPr>
              <w:t>9</w:t>
            </w:r>
          </w:p>
        </w:tc>
      </w:tr>
      <w:tr>
        <w:tc>
          <w:tcPr>
            <w:tcW w:type="dxa" w:w="3744"/>
            <w:vAlign w:val="center"/>
            <w:shd w:fill="F2F6FA"/>
          </w:tcPr>
          <w:p>
            <w:pPr>
              <w:spacing w:after="0"/>
            </w:pPr>
            <w:r/>
            <w:r>
              <w:rPr>
                <w:rFonts w:ascii="Aptos" w:hAnsi="Aptos"/>
                <w:b w:val="0"/>
                <w:sz w:val="18"/>
              </w:rPr>
              <w:t>75th percentile</w:t>
            </w:r>
          </w:p>
        </w:tc>
        <w:tc>
          <w:tcPr>
            <w:tcW w:type="dxa" w:w="6624"/>
            <w:vAlign w:val="center"/>
            <w:shd w:fill="F2F6FA"/>
          </w:tcPr>
          <w:p>
            <w:pPr>
              <w:spacing w:after="0"/>
            </w:pPr>
            <w:r/>
            <w:r>
              <w:rPr>
                <w:rFonts w:ascii="Aptos" w:hAnsi="Aptos"/>
                <w:b w:val="0"/>
                <w:sz w:val="18"/>
              </w:rPr>
              <w:t>55</w:t>
            </w:r>
          </w:p>
        </w:tc>
      </w:tr>
      <w:tr>
        <w:tc>
          <w:tcPr>
            <w:tcW w:type="dxa" w:w="3744"/>
            <w:vAlign w:val="center"/>
          </w:tcPr>
          <w:p>
            <w:pPr>
              <w:spacing w:after="0"/>
            </w:pPr>
            <w:r/>
            <w:r>
              <w:rPr>
                <w:rFonts w:ascii="Aptos" w:hAnsi="Aptos"/>
                <w:b w:val="0"/>
                <w:sz w:val="18"/>
              </w:rPr>
              <w:t>Minimum / maximum</w:t>
            </w:r>
          </w:p>
        </w:tc>
        <w:tc>
          <w:tcPr>
            <w:tcW w:type="dxa" w:w="6624"/>
            <w:vAlign w:val="center"/>
          </w:tcPr>
          <w:p>
            <w:pPr>
              <w:spacing w:after="0"/>
            </w:pPr>
            <w:r/>
            <w:r>
              <w:rPr>
                <w:rFonts w:ascii="Aptos" w:hAnsi="Aptos"/>
                <w:b w:val="0"/>
                <w:sz w:val="18"/>
              </w:rPr>
              <w:t>0 / 72</w:t>
            </w:r>
          </w:p>
        </w:tc>
      </w:tr>
      <w:tr>
        <w:tc>
          <w:tcPr>
            <w:tcW w:type="dxa" w:w="3744"/>
            <w:vAlign w:val="center"/>
            <w:shd w:fill="F2F6FA"/>
          </w:tcPr>
          <w:p>
            <w:pPr>
              <w:spacing w:after="0"/>
            </w:pPr>
            <w:r/>
            <w:r>
              <w:rPr>
                <w:rFonts w:ascii="Aptos" w:hAnsi="Aptos"/>
                <w:b w:val="0"/>
                <w:sz w:val="18"/>
              </w:rPr>
              <w:t>Unique values</w:t>
            </w:r>
          </w:p>
        </w:tc>
        <w:tc>
          <w:tcPr>
            <w:tcW w:type="dxa" w:w="6624"/>
            <w:vAlign w:val="center"/>
            <w:shd w:fill="F2F6FA"/>
          </w:tcPr>
          <w:p>
            <w:pPr>
              <w:spacing w:after="0"/>
            </w:pPr>
            <w:r/>
            <w:r>
              <w:rPr>
                <w:rFonts w:ascii="Aptos" w:hAnsi="Aptos"/>
                <w:b w:val="0"/>
                <w:sz w:val="18"/>
              </w:rPr>
              <w:t>73</w:t>
            </w:r>
          </w:p>
        </w:tc>
      </w:tr>
    </w:tbl>
    <w:p/>
    <w:p>
      <w:r>
        <w:t>Customers who churned had a median tenure of 10 months and mean tenure of 17.98 months. Customers who did not churn had a median tenure of 38 months and mean tenure of 37.57 months. This is a clear association between shorter tenure and churn in this dataset, but it does not establish causation.</w:t>
      </w:r>
    </w:p>
    <w:p>
      <w:pPr>
        <w:pStyle w:val="Heading2"/>
      </w:pPr>
      <w:r>
        <w:t>5.3 Monthly and total charges</w:t>
      </w:r>
    </w:p>
    <w:p>
      <w:pPr>
        <w:pStyle w:val="ListBullet"/>
      </w:pPr>
      <w:r>
        <w:t>MonthlyCharges: mean = 64.76; median = 70.35; range = 18.25–118.75.</w:t>
      </w:r>
    </w:p>
    <w:p>
      <w:pPr>
        <w:pStyle w:val="ListBullet"/>
      </w:pPr>
      <w:r>
        <w:t>TotalCharges: 7,032 non-missing values; mean = 2,283.30; median = 1,397.48; range = 18.80–8,684.80.</w:t>
      </w:r>
    </w:p>
    <w:p>
      <w:pPr>
        <w:pStyle w:val="ListBullet"/>
      </w:pPr>
      <w:r>
        <w:t>Median TotalCharges were 703.55 among churned customers and 1,683.60 among customers who did not churn. This difference may partly reflect the shorter tenure of churned customers, so it should not be interpreted as an independent causal effect.</w:t>
      </w:r>
    </w:p>
    <w:p>
      <w:pPr>
        <w:pStyle w:val="Heading2"/>
      </w:pPr>
      <w:r>
        <w:t>5.4 Contract type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024"/>
            <w:vAlign w:val="center"/>
            <w:shd w:fill="17365D"/>
          </w:tcPr>
          <w:p>
            <w:pPr>
              <w:spacing w:after="0"/>
            </w:pPr>
            <w:r/>
            <w:r>
              <w:rPr>
                <w:rFonts w:ascii="Aptos" w:hAnsi="Aptos"/>
                <w:b/>
                <w:color w:val="FFFFFF"/>
                <w:sz w:val="18"/>
              </w:rPr>
              <w:t>Contract type</w:t>
            </w:r>
          </w:p>
        </w:tc>
        <w:tc>
          <w:tcPr>
            <w:tcW w:type="dxa" w:w="2160"/>
            <w:vAlign w:val="center"/>
            <w:shd w:fill="17365D"/>
          </w:tcPr>
          <w:p>
            <w:pPr>
              <w:spacing w:after="0"/>
            </w:pPr>
            <w:r/>
            <w:r>
              <w:rPr>
                <w:rFonts w:ascii="Aptos" w:hAnsi="Aptos"/>
                <w:b/>
                <w:color w:val="FFFFFF"/>
                <w:sz w:val="18"/>
              </w:rPr>
              <w:t>Customers</w:t>
            </w:r>
          </w:p>
        </w:tc>
        <w:tc>
          <w:tcPr>
            <w:tcW w:type="dxa" w:w="2016"/>
            <w:vAlign w:val="center"/>
            <w:shd w:fill="17365D"/>
          </w:tcPr>
          <w:p>
            <w:pPr>
              <w:spacing w:after="0"/>
            </w:pPr>
            <w:r/>
            <w:r>
              <w:rPr>
                <w:rFonts w:ascii="Aptos" w:hAnsi="Aptos"/>
                <w:b/>
                <w:color w:val="FFFFFF"/>
                <w:sz w:val="18"/>
              </w:rPr>
              <w:t>Churned</w:t>
            </w:r>
          </w:p>
        </w:tc>
        <w:tc>
          <w:tcPr>
            <w:tcW w:type="dxa" w:w="2160"/>
            <w:vAlign w:val="center"/>
            <w:shd w:fill="17365D"/>
          </w:tcPr>
          <w:p>
            <w:pPr>
              <w:spacing w:after="0"/>
            </w:pPr>
            <w:r/>
            <w:r>
              <w:rPr>
                <w:rFonts w:ascii="Aptos" w:hAnsi="Aptos"/>
                <w:b/>
                <w:color w:val="FFFFFF"/>
                <w:sz w:val="18"/>
              </w:rPr>
              <w:t>Churn rate</w:t>
            </w:r>
          </w:p>
        </w:tc>
      </w:tr>
      <w:tr>
        <w:tc>
          <w:tcPr>
            <w:tcW w:type="dxa" w:w="3024"/>
            <w:vAlign w:val="center"/>
          </w:tcPr>
          <w:p>
            <w:pPr>
              <w:spacing w:after="0"/>
            </w:pPr>
            <w:r/>
            <w:r>
              <w:rPr>
                <w:rFonts w:ascii="Aptos" w:hAnsi="Aptos"/>
                <w:b w:val="0"/>
                <w:sz w:val="18"/>
              </w:rPr>
              <w:t>Month-to-month</w:t>
            </w:r>
          </w:p>
        </w:tc>
        <w:tc>
          <w:tcPr>
            <w:tcW w:type="dxa" w:w="2160"/>
            <w:vAlign w:val="center"/>
          </w:tcPr>
          <w:p>
            <w:pPr>
              <w:spacing w:after="0"/>
            </w:pPr>
            <w:r/>
            <w:r>
              <w:rPr>
                <w:rFonts w:ascii="Aptos" w:hAnsi="Aptos"/>
                <w:b w:val="0"/>
                <w:sz w:val="18"/>
              </w:rPr>
              <w:t>3,875</w:t>
            </w:r>
          </w:p>
        </w:tc>
        <w:tc>
          <w:tcPr>
            <w:tcW w:type="dxa" w:w="2016"/>
            <w:vAlign w:val="center"/>
          </w:tcPr>
          <w:p>
            <w:pPr>
              <w:spacing w:after="0"/>
            </w:pPr>
            <w:r/>
            <w:r>
              <w:rPr>
                <w:rFonts w:ascii="Aptos" w:hAnsi="Aptos"/>
                <w:b w:val="0"/>
                <w:sz w:val="18"/>
              </w:rPr>
              <w:t>1,655</w:t>
            </w:r>
          </w:p>
        </w:tc>
        <w:tc>
          <w:tcPr>
            <w:tcW w:type="dxa" w:w="2160"/>
            <w:vAlign w:val="center"/>
          </w:tcPr>
          <w:p>
            <w:pPr>
              <w:spacing w:after="0"/>
            </w:pPr>
            <w:r/>
            <w:r>
              <w:rPr>
                <w:rFonts w:ascii="Aptos" w:hAnsi="Aptos"/>
                <w:b w:val="0"/>
                <w:sz w:val="18"/>
              </w:rPr>
              <w:t>42.71%</w:t>
            </w:r>
          </w:p>
        </w:tc>
      </w:tr>
      <w:tr>
        <w:tc>
          <w:tcPr>
            <w:tcW w:type="dxa" w:w="3024"/>
            <w:vAlign w:val="center"/>
            <w:shd w:fill="F2F6FA"/>
          </w:tcPr>
          <w:p>
            <w:pPr>
              <w:spacing w:after="0"/>
            </w:pPr>
            <w:r/>
            <w:r>
              <w:rPr>
                <w:rFonts w:ascii="Aptos" w:hAnsi="Aptos"/>
                <w:b w:val="0"/>
                <w:sz w:val="18"/>
              </w:rPr>
              <w:t>One year</w:t>
            </w:r>
          </w:p>
        </w:tc>
        <w:tc>
          <w:tcPr>
            <w:tcW w:type="dxa" w:w="2160"/>
            <w:vAlign w:val="center"/>
            <w:shd w:fill="F2F6FA"/>
          </w:tcPr>
          <w:p>
            <w:pPr>
              <w:spacing w:after="0"/>
            </w:pPr>
            <w:r/>
            <w:r>
              <w:rPr>
                <w:rFonts w:ascii="Aptos" w:hAnsi="Aptos"/>
                <w:b w:val="0"/>
                <w:sz w:val="18"/>
              </w:rPr>
              <w:t>1,473</w:t>
            </w:r>
          </w:p>
        </w:tc>
        <w:tc>
          <w:tcPr>
            <w:tcW w:type="dxa" w:w="2016"/>
            <w:vAlign w:val="center"/>
            <w:shd w:fill="F2F6FA"/>
          </w:tcPr>
          <w:p>
            <w:pPr>
              <w:spacing w:after="0"/>
            </w:pPr>
            <w:r/>
            <w:r>
              <w:rPr>
                <w:rFonts w:ascii="Aptos" w:hAnsi="Aptos"/>
                <w:b w:val="0"/>
                <w:sz w:val="18"/>
              </w:rPr>
              <w:t>166</w:t>
            </w:r>
          </w:p>
        </w:tc>
        <w:tc>
          <w:tcPr>
            <w:tcW w:type="dxa" w:w="2160"/>
            <w:vAlign w:val="center"/>
            <w:shd w:fill="F2F6FA"/>
          </w:tcPr>
          <w:p>
            <w:pPr>
              <w:spacing w:after="0"/>
            </w:pPr>
            <w:r/>
            <w:r>
              <w:rPr>
                <w:rFonts w:ascii="Aptos" w:hAnsi="Aptos"/>
                <w:b w:val="0"/>
                <w:sz w:val="18"/>
              </w:rPr>
              <w:t>11.27%</w:t>
            </w:r>
          </w:p>
        </w:tc>
      </w:tr>
      <w:tr>
        <w:tc>
          <w:tcPr>
            <w:tcW w:type="dxa" w:w="3024"/>
            <w:vAlign w:val="center"/>
          </w:tcPr>
          <w:p>
            <w:pPr>
              <w:spacing w:after="0"/>
            </w:pPr>
            <w:r/>
            <w:r>
              <w:rPr>
                <w:rFonts w:ascii="Aptos" w:hAnsi="Aptos"/>
                <w:b w:val="0"/>
                <w:sz w:val="18"/>
              </w:rPr>
              <w:t>Two year</w:t>
            </w:r>
          </w:p>
        </w:tc>
        <w:tc>
          <w:tcPr>
            <w:tcW w:type="dxa" w:w="2160"/>
            <w:vAlign w:val="center"/>
          </w:tcPr>
          <w:p>
            <w:pPr>
              <w:spacing w:after="0"/>
            </w:pPr>
            <w:r/>
            <w:r>
              <w:rPr>
                <w:rFonts w:ascii="Aptos" w:hAnsi="Aptos"/>
                <w:b w:val="0"/>
                <w:sz w:val="18"/>
              </w:rPr>
              <w:t>1,695</w:t>
            </w:r>
          </w:p>
        </w:tc>
        <w:tc>
          <w:tcPr>
            <w:tcW w:type="dxa" w:w="2016"/>
            <w:vAlign w:val="center"/>
          </w:tcPr>
          <w:p>
            <w:pPr>
              <w:spacing w:after="0"/>
            </w:pPr>
            <w:r/>
            <w:r>
              <w:rPr>
                <w:rFonts w:ascii="Aptos" w:hAnsi="Aptos"/>
                <w:b w:val="0"/>
                <w:sz w:val="18"/>
              </w:rPr>
              <w:t>48</w:t>
            </w:r>
          </w:p>
        </w:tc>
        <w:tc>
          <w:tcPr>
            <w:tcW w:type="dxa" w:w="2160"/>
            <w:vAlign w:val="center"/>
          </w:tcPr>
          <w:p>
            <w:pPr>
              <w:spacing w:after="0"/>
            </w:pPr>
            <w:r/>
            <w:r>
              <w:rPr>
                <w:rFonts w:ascii="Aptos" w:hAnsi="Aptos"/>
                <w:b w:val="0"/>
                <w:sz w:val="18"/>
              </w:rPr>
              <w:t>2.83%</w:t>
            </w:r>
          </w:p>
        </w:tc>
      </w:tr>
    </w:tbl>
    <w:p/>
    <w:p>
      <w:r>
        <w:t>Month-to-month contracts had the highest observed churn rate. Two-year contracts had the lowest observed rate. Contract type is strongly associated with churn in this sample, but the observational analysis cannot prove that changing a customer's contract would itself cause the stated reduction.</w:t>
      </w:r>
    </w:p>
    <w:p>
      <w:pPr>
        <w:pStyle w:val="Heading2"/>
      </w:pPr>
      <w:r>
        <w:t>5.5 Payment method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032"/>
            <w:vAlign w:val="center"/>
            <w:shd w:fill="17365D"/>
          </w:tcPr>
          <w:p>
            <w:pPr>
              <w:spacing w:after="0"/>
            </w:pPr>
            <w:r/>
            <w:r>
              <w:rPr>
                <w:rFonts w:ascii="Aptos" w:hAnsi="Aptos"/>
                <w:b/>
                <w:color w:val="FFFFFF"/>
                <w:sz w:val="18"/>
              </w:rPr>
              <w:t>Payment method</w:t>
            </w:r>
          </w:p>
        </w:tc>
        <w:tc>
          <w:tcPr>
            <w:tcW w:type="dxa" w:w="1728"/>
            <w:vAlign w:val="center"/>
            <w:shd w:fill="17365D"/>
          </w:tcPr>
          <w:p>
            <w:pPr>
              <w:spacing w:after="0"/>
            </w:pPr>
            <w:r/>
            <w:r>
              <w:rPr>
                <w:rFonts w:ascii="Aptos" w:hAnsi="Aptos"/>
                <w:b/>
                <w:color w:val="FFFFFF"/>
                <w:sz w:val="18"/>
              </w:rPr>
              <w:t>Customers</w:t>
            </w:r>
          </w:p>
        </w:tc>
        <w:tc>
          <w:tcPr>
            <w:tcW w:type="dxa" w:w="1728"/>
            <w:vAlign w:val="center"/>
            <w:shd w:fill="17365D"/>
          </w:tcPr>
          <w:p>
            <w:pPr>
              <w:spacing w:after="0"/>
            </w:pPr>
            <w:r/>
            <w:r>
              <w:rPr>
                <w:rFonts w:ascii="Aptos" w:hAnsi="Aptos"/>
                <w:b/>
                <w:color w:val="FFFFFF"/>
                <w:sz w:val="18"/>
              </w:rPr>
              <w:t>Churned</w:t>
            </w:r>
          </w:p>
        </w:tc>
        <w:tc>
          <w:tcPr>
            <w:tcW w:type="dxa" w:w="1872"/>
            <w:vAlign w:val="center"/>
            <w:shd w:fill="17365D"/>
          </w:tcPr>
          <w:p>
            <w:pPr>
              <w:spacing w:after="0"/>
            </w:pPr>
            <w:r/>
            <w:r>
              <w:rPr>
                <w:rFonts w:ascii="Aptos" w:hAnsi="Aptos"/>
                <w:b/>
                <w:color w:val="FFFFFF"/>
                <w:sz w:val="18"/>
              </w:rPr>
              <w:t>Churn rate</w:t>
            </w:r>
          </w:p>
        </w:tc>
      </w:tr>
      <w:tr>
        <w:tc>
          <w:tcPr>
            <w:tcW w:type="dxa" w:w="4032"/>
            <w:vAlign w:val="center"/>
          </w:tcPr>
          <w:p>
            <w:pPr>
              <w:spacing w:after="0"/>
            </w:pPr>
            <w:r/>
            <w:r>
              <w:rPr>
                <w:rFonts w:ascii="Aptos" w:hAnsi="Aptos"/>
                <w:b w:val="0"/>
                <w:sz w:val="18"/>
              </w:rPr>
              <w:t>Electronic check</w:t>
            </w:r>
          </w:p>
        </w:tc>
        <w:tc>
          <w:tcPr>
            <w:tcW w:type="dxa" w:w="1728"/>
            <w:vAlign w:val="center"/>
          </w:tcPr>
          <w:p>
            <w:pPr>
              <w:spacing w:after="0"/>
            </w:pPr>
            <w:r/>
            <w:r>
              <w:rPr>
                <w:rFonts w:ascii="Aptos" w:hAnsi="Aptos"/>
                <w:b w:val="0"/>
                <w:sz w:val="18"/>
              </w:rPr>
              <w:t>2,365</w:t>
            </w:r>
          </w:p>
        </w:tc>
        <w:tc>
          <w:tcPr>
            <w:tcW w:type="dxa" w:w="1728"/>
            <w:vAlign w:val="center"/>
          </w:tcPr>
          <w:p>
            <w:pPr>
              <w:spacing w:after="0"/>
            </w:pPr>
            <w:r/>
            <w:r>
              <w:rPr>
                <w:rFonts w:ascii="Aptos" w:hAnsi="Aptos"/>
                <w:b w:val="0"/>
                <w:sz w:val="18"/>
              </w:rPr>
              <w:t>1,071</w:t>
            </w:r>
          </w:p>
        </w:tc>
        <w:tc>
          <w:tcPr>
            <w:tcW w:type="dxa" w:w="1872"/>
            <w:vAlign w:val="center"/>
          </w:tcPr>
          <w:p>
            <w:pPr>
              <w:spacing w:after="0"/>
            </w:pPr>
            <w:r/>
            <w:r>
              <w:rPr>
                <w:rFonts w:ascii="Aptos" w:hAnsi="Aptos"/>
                <w:b w:val="0"/>
                <w:sz w:val="18"/>
              </w:rPr>
              <w:t>45.29%</w:t>
            </w:r>
          </w:p>
        </w:tc>
      </w:tr>
      <w:tr>
        <w:tc>
          <w:tcPr>
            <w:tcW w:type="dxa" w:w="4032"/>
            <w:vAlign w:val="center"/>
            <w:shd w:fill="F2F6FA"/>
          </w:tcPr>
          <w:p>
            <w:pPr>
              <w:spacing w:after="0"/>
            </w:pPr>
            <w:r/>
            <w:r>
              <w:rPr>
                <w:rFonts w:ascii="Aptos" w:hAnsi="Aptos"/>
                <w:b w:val="0"/>
                <w:sz w:val="18"/>
              </w:rPr>
              <w:t>Mailed check</w:t>
            </w:r>
          </w:p>
        </w:tc>
        <w:tc>
          <w:tcPr>
            <w:tcW w:type="dxa" w:w="1728"/>
            <w:vAlign w:val="center"/>
            <w:shd w:fill="F2F6FA"/>
          </w:tcPr>
          <w:p>
            <w:pPr>
              <w:spacing w:after="0"/>
            </w:pPr>
            <w:r/>
            <w:r>
              <w:rPr>
                <w:rFonts w:ascii="Aptos" w:hAnsi="Aptos"/>
                <w:b w:val="0"/>
                <w:sz w:val="18"/>
              </w:rPr>
              <w:t>1,612</w:t>
            </w:r>
          </w:p>
        </w:tc>
        <w:tc>
          <w:tcPr>
            <w:tcW w:type="dxa" w:w="1728"/>
            <w:vAlign w:val="center"/>
            <w:shd w:fill="F2F6FA"/>
          </w:tcPr>
          <w:p>
            <w:pPr>
              <w:spacing w:after="0"/>
            </w:pPr>
            <w:r/>
            <w:r>
              <w:rPr>
                <w:rFonts w:ascii="Aptos" w:hAnsi="Aptos"/>
                <w:b w:val="0"/>
                <w:sz w:val="18"/>
              </w:rPr>
              <w:t>308</w:t>
            </w:r>
          </w:p>
        </w:tc>
        <w:tc>
          <w:tcPr>
            <w:tcW w:type="dxa" w:w="1872"/>
            <w:vAlign w:val="center"/>
            <w:shd w:fill="F2F6FA"/>
          </w:tcPr>
          <w:p>
            <w:pPr>
              <w:spacing w:after="0"/>
            </w:pPr>
            <w:r/>
            <w:r>
              <w:rPr>
                <w:rFonts w:ascii="Aptos" w:hAnsi="Aptos"/>
                <w:b w:val="0"/>
                <w:sz w:val="18"/>
              </w:rPr>
              <w:t>19.11%</w:t>
            </w:r>
          </w:p>
        </w:tc>
      </w:tr>
      <w:tr>
        <w:tc>
          <w:tcPr>
            <w:tcW w:type="dxa" w:w="4032"/>
            <w:vAlign w:val="center"/>
          </w:tcPr>
          <w:p>
            <w:pPr>
              <w:spacing w:after="0"/>
            </w:pPr>
            <w:r/>
            <w:r>
              <w:rPr>
                <w:rFonts w:ascii="Aptos" w:hAnsi="Aptos"/>
                <w:b w:val="0"/>
                <w:sz w:val="18"/>
              </w:rPr>
              <w:t>Bank transfer (automatic)</w:t>
            </w:r>
          </w:p>
        </w:tc>
        <w:tc>
          <w:tcPr>
            <w:tcW w:type="dxa" w:w="1728"/>
            <w:vAlign w:val="center"/>
          </w:tcPr>
          <w:p>
            <w:pPr>
              <w:spacing w:after="0"/>
            </w:pPr>
            <w:r/>
            <w:r>
              <w:rPr>
                <w:rFonts w:ascii="Aptos" w:hAnsi="Aptos"/>
                <w:b w:val="0"/>
                <w:sz w:val="18"/>
              </w:rPr>
              <w:t>1,544</w:t>
            </w:r>
          </w:p>
        </w:tc>
        <w:tc>
          <w:tcPr>
            <w:tcW w:type="dxa" w:w="1728"/>
            <w:vAlign w:val="center"/>
          </w:tcPr>
          <w:p>
            <w:pPr>
              <w:spacing w:after="0"/>
            </w:pPr>
            <w:r/>
            <w:r>
              <w:rPr>
                <w:rFonts w:ascii="Aptos" w:hAnsi="Aptos"/>
                <w:b w:val="0"/>
                <w:sz w:val="18"/>
              </w:rPr>
              <w:t>258</w:t>
            </w:r>
          </w:p>
        </w:tc>
        <w:tc>
          <w:tcPr>
            <w:tcW w:type="dxa" w:w="1872"/>
            <w:vAlign w:val="center"/>
          </w:tcPr>
          <w:p>
            <w:pPr>
              <w:spacing w:after="0"/>
            </w:pPr>
            <w:r/>
            <w:r>
              <w:rPr>
                <w:rFonts w:ascii="Aptos" w:hAnsi="Aptos"/>
                <w:b w:val="0"/>
                <w:sz w:val="18"/>
              </w:rPr>
              <w:t>16.71%</w:t>
            </w:r>
          </w:p>
        </w:tc>
      </w:tr>
      <w:tr>
        <w:tc>
          <w:tcPr>
            <w:tcW w:type="dxa" w:w="4032"/>
            <w:vAlign w:val="center"/>
            <w:shd w:fill="F2F6FA"/>
          </w:tcPr>
          <w:p>
            <w:pPr>
              <w:spacing w:after="0"/>
            </w:pPr>
            <w:r/>
            <w:r>
              <w:rPr>
                <w:rFonts w:ascii="Aptos" w:hAnsi="Aptos"/>
                <w:b w:val="0"/>
                <w:sz w:val="18"/>
              </w:rPr>
              <w:t>Credit card (automatic)</w:t>
            </w:r>
          </w:p>
        </w:tc>
        <w:tc>
          <w:tcPr>
            <w:tcW w:type="dxa" w:w="1728"/>
            <w:vAlign w:val="center"/>
            <w:shd w:fill="F2F6FA"/>
          </w:tcPr>
          <w:p>
            <w:pPr>
              <w:spacing w:after="0"/>
            </w:pPr>
            <w:r/>
            <w:r>
              <w:rPr>
                <w:rFonts w:ascii="Aptos" w:hAnsi="Aptos"/>
                <w:b w:val="0"/>
                <w:sz w:val="18"/>
              </w:rPr>
              <w:t>1,522</w:t>
            </w:r>
          </w:p>
        </w:tc>
        <w:tc>
          <w:tcPr>
            <w:tcW w:type="dxa" w:w="1728"/>
            <w:vAlign w:val="center"/>
            <w:shd w:fill="F2F6FA"/>
          </w:tcPr>
          <w:p>
            <w:pPr>
              <w:spacing w:after="0"/>
            </w:pPr>
            <w:r/>
            <w:r>
              <w:rPr>
                <w:rFonts w:ascii="Aptos" w:hAnsi="Aptos"/>
                <w:b w:val="0"/>
                <w:sz w:val="18"/>
              </w:rPr>
              <w:t>232</w:t>
            </w:r>
          </w:p>
        </w:tc>
        <w:tc>
          <w:tcPr>
            <w:tcW w:type="dxa" w:w="1872"/>
            <w:vAlign w:val="center"/>
            <w:shd w:fill="F2F6FA"/>
          </w:tcPr>
          <w:p>
            <w:pPr>
              <w:spacing w:after="0"/>
            </w:pPr>
            <w:r/>
            <w:r>
              <w:rPr>
                <w:rFonts w:ascii="Aptos" w:hAnsi="Aptos"/>
                <w:b w:val="0"/>
                <w:sz w:val="18"/>
              </w:rPr>
              <w:t>15.24%</w:t>
            </w:r>
          </w:p>
        </w:tc>
      </w:tr>
    </w:tbl>
    <w:p/>
    <w:p>
      <w:r>
        <w:t>Electronic-check customers had the highest observed churn rate among the listed payment groups. Payment method may be useful for segmentation and further investigation; this result alone does not establish causality.</w:t>
      </w:r>
    </w:p>
    <w:p>
      <w:pPr>
        <w:pStyle w:val="Heading1"/>
      </w:pPr>
      <w:r>
        <w:t>6. Modelling Approach</w:t>
      </w:r>
    </w:p>
    <w:p>
      <w:pPr>
        <w:pStyle w:val="Heading2"/>
      </w:pPr>
      <w:r>
        <w:t>6.1 Train/test strategy</w:t>
      </w:r>
    </w:p>
    <w:p>
      <w:r>
        <w:t>The predictors and target were separated, and customerID was removed from the predictors. The data was split using an 80:20 ratio, random_state=42, and stratify=y. The training set contained 5,634 records and the test set contained 1,409 records. The test set was reserved for final model evaluation.</w:t>
      </w:r>
    </w:p>
    <w:p>
      <w:pPr>
        <w:pStyle w:val="Heading2"/>
      </w:pPr>
      <w:r>
        <w:t>6.2 Logistic Regression baseline</w:t>
      </w:r>
    </w:p>
    <w:p>
      <w:r>
        <w:t>Logistic Regression was trained in a pipeline with the preprocessing transformer and max_iter=1000. Predictions and churn probabilities were evaluated on the held-out test set.</w:t>
      </w:r>
    </w:p>
    <w:p>
      <w:pPr>
        <w:pStyle w:val="Heading2"/>
      </w:pPr>
      <w:r>
        <w:t>6.3 XGBoost tuning</w:t>
      </w:r>
    </w:p>
    <w:p>
      <w:r>
        <w:t>XGBClassifier was evaluated through RandomizedSearchCV using 20 candidate parameter combinations and five-fold StratifiedKFold cross-validation, with ROC-AUC as the selection metric. The best mean cross-validation ROC-AUC was 0.8504. The selected parameters were: n_estimators=100, max_depth=3, learning_rate=0.05, subsample=0.9, colsample_bytree=0.8, min_child_weight=3, gamma=0, reg_alpha=0, and reg_lambda=1.</w:t>
      </w:r>
    </w:p>
    <w:p>
      <w:pPr>
        <w:pStyle w:val="Heading1"/>
      </w:pPr>
      <w:r>
        <w:t>7. Model Evaluation Results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7365D"/>
          </w:tcPr>
          <w:p>
            <w:pPr>
              <w:spacing w:after="0"/>
            </w:pPr>
            <w:r/>
            <w:r>
              <w:rPr>
                <w:rFonts w:ascii="Aptos" w:hAnsi="Aptos"/>
                <w:b/>
                <w:color w:val="FFFFFF"/>
                <w:sz w:val="18"/>
              </w:rPr>
              <w:t>Metric</w:t>
            </w:r>
          </w:p>
        </w:tc>
        <w:tc>
          <w:tcPr>
            <w:tcW w:type="dxa" w:w="3600"/>
            <w:vAlign w:val="center"/>
            <w:shd w:fill="17365D"/>
          </w:tcPr>
          <w:p>
            <w:pPr>
              <w:spacing w:after="0"/>
            </w:pPr>
            <w:r/>
            <w:r>
              <w:rPr>
                <w:rFonts w:ascii="Aptos" w:hAnsi="Aptos"/>
                <w:b/>
                <w:color w:val="FFFFFF"/>
                <w:sz w:val="18"/>
              </w:rPr>
              <w:t>Logistic Regression baseline</w:t>
            </w:r>
          </w:p>
        </w:tc>
        <w:tc>
          <w:tcPr>
            <w:tcW w:type="dxa" w:w="3600"/>
            <w:vAlign w:val="center"/>
            <w:shd w:fill="17365D"/>
          </w:tcPr>
          <w:p>
            <w:pPr>
              <w:spacing w:after="0"/>
            </w:pPr>
            <w:r/>
            <w:r>
              <w:rPr>
                <w:rFonts w:ascii="Aptos" w:hAnsi="Aptos"/>
                <w:b/>
                <w:color w:val="FFFFFF"/>
                <w:sz w:val="18"/>
              </w:rPr>
              <w:t>Tuned XGBoost</w:t>
            </w:r>
          </w:p>
        </w:tc>
      </w:tr>
      <w:tr>
        <w:tc>
          <w:tcPr>
            <w:tcW w:type="dxa" w:w="2880"/>
            <w:vAlign w:val="center"/>
          </w:tcPr>
          <w:p>
            <w:pPr>
              <w:spacing w:after="0"/>
            </w:pPr>
            <w:r/>
            <w:r>
              <w:rPr>
                <w:rFonts w:ascii="Aptos" w:hAnsi="Aptos"/>
                <w:b w:val="0"/>
                <w:sz w:val="18"/>
              </w:rPr>
              <w:t>Accuracy</w:t>
            </w:r>
          </w:p>
        </w:tc>
        <w:tc>
          <w:tcPr>
            <w:tcW w:type="dxa" w:w="3600"/>
            <w:vAlign w:val="center"/>
          </w:tcPr>
          <w:p>
            <w:pPr>
              <w:spacing w:after="0"/>
            </w:pPr>
            <w:r/>
            <w:r>
              <w:rPr>
                <w:rFonts w:ascii="Aptos" w:hAnsi="Aptos"/>
                <w:b w:val="0"/>
                <w:sz w:val="18"/>
              </w:rPr>
              <w:t>0.8055 (80.55%)</w:t>
            </w:r>
          </w:p>
        </w:tc>
        <w:tc>
          <w:tcPr>
            <w:tcW w:type="dxa" w:w="3600"/>
            <w:vAlign w:val="center"/>
          </w:tcPr>
          <w:p>
            <w:pPr>
              <w:spacing w:after="0"/>
            </w:pPr>
            <w:r/>
            <w:r>
              <w:rPr>
                <w:rFonts w:ascii="Aptos" w:hAnsi="Aptos"/>
                <w:b w:val="0"/>
                <w:sz w:val="18"/>
              </w:rPr>
              <w:t>0.8091 (80.91%)</w:t>
            </w:r>
          </w:p>
        </w:tc>
      </w:tr>
      <w:tr>
        <w:tc>
          <w:tcPr>
            <w:tcW w:type="dxa" w:w="2880"/>
            <w:vAlign w:val="center"/>
            <w:shd w:fill="F2F6FA"/>
          </w:tcPr>
          <w:p>
            <w:pPr>
              <w:spacing w:after="0"/>
            </w:pPr>
            <w:r/>
            <w:r>
              <w:rPr>
                <w:rFonts w:ascii="Aptos" w:hAnsi="Aptos"/>
                <w:b w:val="0"/>
                <w:sz w:val="18"/>
              </w:rPr>
              <w:t>Precision — Churn</w:t>
            </w:r>
          </w:p>
        </w:tc>
        <w:tc>
          <w:tcPr>
            <w:tcW w:type="dxa" w:w="3600"/>
            <w:vAlign w:val="center"/>
            <w:shd w:fill="F2F6FA"/>
          </w:tcPr>
          <w:p>
            <w:pPr>
              <w:spacing w:after="0"/>
            </w:pPr>
            <w:r/>
            <w:r>
              <w:rPr>
                <w:rFonts w:ascii="Aptos" w:hAnsi="Aptos"/>
                <w:b w:val="0"/>
                <w:sz w:val="18"/>
              </w:rPr>
              <w:t>0.6572 (65.72%)</w:t>
            </w:r>
          </w:p>
        </w:tc>
        <w:tc>
          <w:tcPr>
            <w:tcW w:type="dxa" w:w="3600"/>
            <w:vAlign w:val="center"/>
            <w:shd w:fill="F2F6FA"/>
          </w:tcPr>
          <w:p>
            <w:pPr>
              <w:spacing w:after="0"/>
            </w:pPr>
            <w:r/>
            <w:r>
              <w:rPr>
                <w:rFonts w:ascii="Aptos" w:hAnsi="Aptos"/>
                <w:b w:val="0"/>
                <w:sz w:val="18"/>
              </w:rPr>
              <w:t>0.6804 (68.04%)</w:t>
            </w:r>
          </w:p>
        </w:tc>
      </w:tr>
      <w:tr>
        <w:tc>
          <w:tcPr>
            <w:tcW w:type="dxa" w:w="2880"/>
            <w:vAlign w:val="center"/>
          </w:tcPr>
          <w:p>
            <w:pPr>
              <w:spacing w:after="0"/>
            </w:pPr>
            <w:r/>
            <w:r>
              <w:rPr>
                <w:rFonts w:ascii="Aptos" w:hAnsi="Aptos"/>
                <w:b w:val="0"/>
                <w:sz w:val="18"/>
              </w:rPr>
              <w:t>Recall — Churn</w:t>
            </w:r>
          </w:p>
        </w:tc>
        <w:tc>
          <w:tcPr>
            <w:tcW w:type="dxa" w:w="3600"/>
            <w:vAlign w:val="center"/>
          </w:tcPr>
          <w:p>
            <w:pPr>
              <w:spacing w:after="0"/>
            </w:pPr>
            <w:r/>
            <w:r>
              <w:rPr>
                <w:rFonts w:ascii="Aptos" w:hAnsi="Aptos"/>
                <w:b w:val="0"/>
                <w:sz w:val="18"/>
              </w:rPr>
              <w:t>0.5588 (55.88%)</w:t>
            </w:r>
          </w:p>
        </w:tc>
        <w:tc>
          <w:tcPr>
            <w:tcW w:type="dxa" w:w="3600"/>
            <w:vAlign w:val="center"/>
          </w:tcPr>
          <w:p>
            <w:pPr>
              <w:spacing w:after="0"/>
            </w:pPr>
            <w:r/>
            <w:r>
              <w:rPr>
                <w:rFonts w:ascii="Aptos" w:hAnsi="Aptos"/>
                <w:b w:val="0"/>
                <w:sz w:val="18"/>
              </w:rPr>
              <w:t>0.5294 (52.94%)</w:t>
            </w:r>
          </w:p>
        </w:tc>
      </w:tr>
      <w:tr>
        <w:tc>
          <w:tcPr>
            <w:tcW w:type="dxa" w:w="2880"/>
            <w:vAlign w:val="center"/>
            <w:shd w:fill="F2F6FA"/>
          </w:tcPr>
          <w:p>
            <w:pPr>
              <w:spacing w:after="0"/>
            </w:pPr>
            <w:r/>
            <w:r>
              <w:rPr>
                <w:rFonts w:ascii="Aptos" w:hAnsi="Aptos"/>
                <w:b w:val="0"/>
                <w:sz w:val="18"/>
              </w:rPr>
              <w:t>F1-score — Churn</w:t>
            </w:r>
          </w:p>
        </w:tc>
        <w:tc>
          <w:tcPr>
            <w:tcW w:type="dxa" w:w="3600"/>
            <w:vAlign w:val="center"/>
            <w:shd w:fill="F2F6FA"/>
          </w:tcPr>
          <w:p>
            <w:pPr>
              <w:spacing w:after="0"/>
            </w:pPr>
            <w:r/>
            <w:r>
              <w:rPr>
                <w:rFonts w:ascii="Aptos" w:hAnsi="Aptos"/>
                <w:b w:val="0"/>
                <w:sz w:val="18"/>
              </w:rPr>
              <w:t>0.6040 (60.40%)</w:t>
            </w:r>
          </w:p>
        </w:tc>
        <w:tc>
          <w:tcPr>
            <w:tcW w:type="dxa" w:w="3600"/>
            <w:vAlign w:val="center"/>
            <w:shd w:fill="F2F6FA"/>
          </w:tcPr>
          <w:p>
            <w:pPr>
              <w:spacing w:after="0"/>
            </w:pPr>
            <w:r/>
            <w:r>
              <w:rPr>
                <w:rFonts w:ascii="Aptos" w:hAnsi="Aptos"/>
                <w:b w:val="0"/>
                <w:sz w:val="18"/>
              </w:rPr>
              <w:t>0.5955 (59.55%)</w:t>
            </w:r>
          </w:p>
        </w:tc>
      </w:tr>
      <w:tr>
        <w:tc>
          <w:tcPr>
            <w:tcW w:type="dxa" w:w="2880"/>
            <w:vAlign w:val="center"/>
          </w:tcPr>
          <w:p>
            <w:pPr>
              <w:spacing w:after="0"/>
            </w:pPr>
            <w:r/>
            <w:r>
              <w:rPr>
                <w:rFonts w:ascii="Aptos" w:hAnsi="Aptos"/>
                <w:b w:val="0"/>
                <w:sz w:val="18"/>
              </w:rPr>
              <w:t>ROC-AUC</w:t>
            </w:r>
          </w:p>
        </w:tc>
        <w:tc>
          <w:tcPr>
            <w:tcW w:type="dxa" w:w="3600"/>
            <w:vAlign w:val="center"/>
          </w:tcPr>
          <w:p>
            <w:pPr>
              <w:spacing w:after="0"/>
            </w:pPr>
            <w:r/>
            <w:r>
              <w:rPr>
                <w:rFonts w:ascii="Aptos" w:hAnsi="Aptos"/>
                <w:b w:val="0"/>
                <w:sz w:val="18"/>
              </w:rPr>
              <w:t>0.8419 (84.19%)</w:t>
            </w:r>
          </w:p>
        </w:tc>
        <w:tc>
          <w:tcPr>
            <w:tcW w:type="dxa" w:w="3600"/>
            <w:vAlign w:val="center"/>
          </w:tcPr>
          <w:p>
            <w:pPr>
              <w:spacing w:after="0"/>
            </w:pPr>
            <w:r/>
            <w:r>
              <w:rPr>
                <w:rFonts w:ascii="Aptos" w:hAnsi="Aptos"/>
                <w:b w:val="0"/>
                <w:sz w:val="18"/>
              </w:rPr>
              <w:t>0.8466 (84.66%)</w:t>
            </w:r>
          </w:p>
        </w:tc>
      </w:tr>
    </w:tbl>
    <w:p/>
    <w:p>
      <w:pPr>
        <w:pStyle w:val="Heading2"/>
      </w:pPr>
      <w:r>
        <w:t>7.1 Logistic Regression confusion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7365D"/>
          </w:tcPr>
          <w:p>
            <w:pPr>
              <w:spacing w:after="0"/>
            </w:pPr>
            <w:r/>
            <w:r>
              <w:rPr>
                <w:rFonts w:ascii="Aptos" w:hAnsi="Aptos"/>
                <w:b/>
                <w:color w:val="FFFFFF"/>
                <w:sz w:val="18"/>
              </w:rPr>
            </w:r>
          </w:p>
        </w:tc>
        <w:tc>
          <w:tcPr>
            <w:tcW w:type="dxa" w:w="3600"/>
            <w:vAlign w:val="center"/>
            <w:shd w:fill="17365D"/>
          </w:tcPr>
          <w:p>
            <w:pPr>
              <w:spacing w:after="0"/>
            </w:pPr>
            <w:r/>
            <w:r>
              <w:rPr>
                <w:rFonts w:ascii="Aptos" w:hAnsi="Aptos"/>
                <w:b/>
                <w:color w:val="FFFFFF"/>
                <w:sz w:val="18"/>
              </w:rPr>
              <w:t>Predicted No Churn</w:t>
            </w:r>
          </w:p>
        </w:tc>
        <w:tc>
          <w:tcPr>
            <w:tcW w:type="dxa" w:w="3600"/>
            <w:vAlign w:val="center"/>
            <w:shd w:fill="17365D"/>
          </w:tcPr>
          <w:p>
            <w:pPr>
              <w:spacing w:after="0"/>
            </w:pPr>
            <w:r/>
            <w:r>
              <w:rPr>
                <w:rFonts w:ascii="Aptos" w:hAnsi="Aptos"/>
                <w:b/>
                <w:color w:val="FFFFFF"/>
                <w:sz w:val="18"/>
              </w:rPr>
              <w:t>Predicted Churn</w:t>
            </w:r>
          </w:p>
        </w:tc>
      </w:tr>
      <w:tr>
        <w:tc>
          <w:tcPr>
            <w:tcW w:type="dxa" w:w="2880"/>
            <w:vAlign w:val="center"/>
          </w:tcPr>
          <w:p>
            <w:pPr>
              <w:spacing w:after="0"/>
            </w:pPr>
            <w:r/>
            <w:r>
              <w:rPr>
                <w:rFonts w:ascii="Aptos" w:hAnsi="Aptos"/>
                <w:b w:val="0"/>
                <w:sz w:val="18"/>
              </w:rPr>
              <w:t>Actual No Churn</w:t>
            </w:r>
          </w:p>
        </w:tc>
        <w:tc>
          <w:tcPr>
            <w:tcW w:type="dxa" w:w="3600"/>
            <w:vAlign w:val="center"/>
          </w:tcPr>
          <w:p>
            <w:pPr>
              <w:spacing w:after="0"/>
            </w:pPr>
            <w:r/>
            <w:r>
              <w:rPr>
                <w:rFonts w:ascii="Aptos" w:hAnsi="Aptos"/>
                <w:b w:val="0"/>
                <w:sz w:val="18"/>
              </w:rPr>
              <w:t>926 (true negatives)</w:t>
            </w:r>
          </w:p>
        </w:tc>
        <w:tc>
          <w:tcPr>
            <w:tcW w:type="dxa" w:w="3600"/>
            <w:vAlign w:val="center"/>
          </w:tcPr>
          <w:p>
            <w:pPr>
              <w:spacing w:after="0"/>
            </w:pPr>
            <w:r/>
            <w:r>
              <w:rPr>
                <w:rFonts w:ascii="Aptos" w:hAnsi="Aptos"/>
                <w:b w:val="0"/>
                <w:sz w:val="18"/>
              </w:rPr>
              <w:t>109 (false positives)</w:t>
            </w:r>
          </w:p>
        </w:tc>
      </w:tr>
      <w:tr>
        <w:tc>
          <w:tcPr>
            <w:tcW w:type="dxa" w:w="2880"/>
            <w:vAlign w:val="center"/>
            <w:shd w:fill="F2F6FA"/>
          </w:tcPr>
          <w:p>
            <w:pPr>
              <w:spacing w:after="0"/>
            </w:pPr>
            <w:r/>
            <w:r>
              <w:rPr>
                <w:rFonts w:ascii="Aptos" w:hAnsi="Aptos"/>
                <w:b w:val="0"/>
                <w:sz w:val="18"/>
              </w:rPr>
              <w:t>Actual Churn</w:t>
            </w:r>
          </w:p>
        </w:tc>
        <w:tc>
          <w:tcPr>
            <w:tcW w:type="dxa" w:w="3600"/>
            <w:vAlign w:val="center"/>
            <w:shd w:fill="F2F6FA"/>
          </w:tcPr>
          <w:p>
            <w:pPr>
              <w:spacing w:after="0"/>
            </w:pPr>
            <w:r/>
            <w:r>
              <w:rPr>
                <w:rFonts w:ascii="Aptos" w:hAnsi="Aptos"/>
                <w:b w:val="0"/>
                <w:sz w:val="18"/>
              </w:rPr>
              <w:t>165 (false negatives)</w:t>
            </w:r>
          </w:p>
        </w:tc>
        <w:tc>
          <w:tcPr>
            <w:tcW w:type="dxa" w:w="3600"/>
            <w:vAlign w:val="center"/>
            <w:shd w:fill="F2F6FA"/>
          </w:tcPr>
          <w:p>
            <w:pPr>
              <w:spacing w:after="0"/>
            </w:pPr>
            <w:r/>
            <w:r>
              <w:rPr>
                <w:rFonts w:ascii="Aptos" w:hAnsi="Aptos"/>
                <w:b w:val="0"/>
                <w:sz w:val="18"/>
              </w:rPr>
              <w:t>209 (true positives)</w:t>
            </w:r>
          </w:p>
        </w:tc>
      </w:tr>
    </w:tbl>
    <w:p/>
    <w:p>
      <w:pPr>
        <w:pStyle w:val="Heading2"/>
      </w:pPr>
      <w:r>
        <w:t>7.2 Tuned XGBoost confusion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7365D"/>
          </w:tcPr>
          <w:p>
            <w:pPr>
              <w:spacing w:after="0"/>
            </w:pPr>
            <w:r/>
            <w:r>
              <w:rPr>
                <w:rFonts w:ascii="Aptos" w:hAnsi="Aptos"/>
                <w:b/>
                <w:color w:val="FFFFFF"/>
                <w:sz w:val="18"/>
              </w:rPr>
            </w:r>
          </w:p>
        </w:tc>
        <w:tc>
          <w:tcPr>
            <w:tcW w:type="dxa" w:w="3600"/>
            <w:vAlign w:val="center"/>
            <w:shd w:fill="17365D"/>
          </w:tcPr>
          <w:p>
            <w:pPr>
              <w:spacing w:after="0"/>
            </w:pPr>
            <w:r/>
            <w:r>
              <w:rPr>
                <w:rFonts w:ascii="Aptos" w:hAnsi="Aptos"/>
                <w:b/>
                <w:color w:val="FFFFFF"/>
                <w:sz w:val="18"/>
              </w:rPr>
              <w:t>Predicted No Churn</w:t>
            </w:r>
          </w:p>
        </w:tc>
        <w:tc>
          <w:tcPr>
            <w:tcW w:type="dxa" w:w="3600"/>
            <w:vAlign w:val="center"/>
            <w:shd w:fill="17365D"/>
          </w:tcPr>
          <w:p>
            <w:pPr>
              <w:spacing w:after="0"/>
            </w:pPr>
            <w:r/>
            <w:r>
              <w:rPr>
                <w:rFonts w:ascii="Aptos" w:hAnsi="Aptos"/>
                <w:b/>
                <w:color w:val="FFFFFF"/>
                <w:sz w:val="18"/>
              </w:rPr>
              <w:t>Predicted Churn</w:t>
            </w:r>
          </w:p>
        </w:tc>
      </w:tr>
      <w:tr>
        <w:tc>
          <w:tcPr>
            <w:tcW w:type="dxa" w:w="2880"/>
            <w:vAlign w:val="center"/>
          </w:tcPr>
          <w:p>
            <w:pPr>
              <w:spacing w:after="0"/>
            </w:pPr>
            <w:r/>
            <w:r>
              <w:rPr>
                <w:rFonts w:ascii="Aptos" w:hAnsi="Aptos"/>
                <w:b w:val="0"/>
                <w:sz w:val="18"/>
              </w:rPr>
              <w:t>Actual No Churn</w:t>
            </w:r>
          </w:p>
        </w:tc>
        <w:tc>
          <w:tcPr>
            <w:tcW w:type="dxa" w:w="3600"/>
            <w:vAlign w:val="center"/>
          </w:tcPr>
          <w:p>
            <w:pPr>
              <w:spacing w:after="0"/>
            </w:pPr>
            <w:r/>
            <w:r>
              <w:rPr>
                <w:rFonts w:ascii="Aptos" w:hAnsi="Aptos"/>
                <w:b w:val="0"/>
                <w:sz w:val="18"/>
              </w:rPr>
              <w:t>942 (true negatives)</w:t>
            </w:r>
          </w:p>
        </w:tc>
        <w:tc>
          <w:tcPr>
            <w:tcW w:type="dxa" w:w="3600"/>
            <w:vAlign w:val="center"/>
          </w:tcPr>
          <w:p>
            <w:pPr>
              <w:spacing w:after="0"/>
            </w:pPr>
            <w:r/>
            <w:r>
              <w:rPr>
                <w:rFonts w:ascii="Aptos" w:hAnsi="Aptos"/>
                <w:b w:val="0"/>
                <w:sz w:val="18"/>
              </w:rPr>
              <w:t>93 (false positives)</w:t>
            </w:r>
          </w:p>
        </w:tc>
      </w:tr>
      <w:tr>
        <w:tc>
          <w:tcPr>
            <w:tcW w:type="dxa" w:w="2880"/>
            <w:vAlign w:val="center"/>
            <w:shd w:fill="F2F6FA"/>
          </w:tcPr>
          <w:p>
            <w:pPr>
              <w:spacing w:after="0"/>
            </w:pPr>
            <w:r/>
            <w:r>
              <w:rPr>
                <w:rFonts w:ascii="Aptos" w:hAnsi="Aptos"/>
                <w:b w:val="0"/>
                <w:sz w:val="18"/>
              </w:rPr>
              <w:t>Actual Churn</w:t>
            </w:r>
          </w:p>
        </w:tc>
        <w:tc>
          <w:tcPr>
            <w:tcW w:type="dxa" w:w="3600"/>
            <w:vAlign w:val="center"/>
            <w:shd w:fill="F2F6FA"/>
          </w:tcPr>
          <w:p>
            <w:pPr>
              <w:spacing w:after="0"/>
            </w:pPr>
            <w:r/>
            <w:r>
              <w:rPr>
                <w:rFonts w:ascii="Aptos" w:hAnsi="Aptos"/>
                <w:b w:val="0"/>
                <w:sz w:val="18"/>
              </w:rPr>
              <w:t>176 (false negatives)</w:t>
            </w:r>
          </w:p>
        </w:tc>
        <w:tc>
          <w:tcPr>
            <w:tcW w:type="dxa" w:w="3600"/>
            <w:vAlign w:val="center"/>
            <w:shd w:fill="F2F6FA"/>
          </w:tcPr>
          <w:p>
            <w:pPr>
              <w:spacing w:after="0"/>
            </w:pPr>
            <w:r/>
            <w:r>
              <w:rPr>
                <w:rFonts w:ascii="Aptos" w:hAnsi="Aptos"/>
                <w:b w:val="0"/>
                <w:sz w:val="18"/>
              </w:rPr>
              <w:t>198 (true positives)</w:t>
            </w:r>
          </w:p>
        </w:tc>
      </w:tr>
    </w:tbl>
    <w:p/>
    <w:p>
      <w:pPr>
        <w:pStyle w:val="Heading2"/>
      </w:pPr>
      <w:r>
        <w:t>7.3 Interpretation</w:t>
      </w:r>
    </w:p>
    <w:p>
      <w:pPr>
        <w:pStyle w:val="ListBullet"/>
      </w:pPr>
      <w:r>
        <w:t>XGBoost had slightly higher accuracy (80.91% vs 80.55%), precision for churn (68.04% vs 65.72%), and ROC-AUC (84.66% vs 84.19%).</w:t>
      </w:r>
    </w:p>
    <w:p>
      <w:pPr>
        <w:pStyle w:val="ListBullet"/>
      </w:pPr>
      <w:r>
        <w:t>Logistic Regression achieved higher churn recall (55.88% vs 52.94%) and churn F1-score (60.40% vs 59.55%).</w:t>
      </w:r>
    </w:p>
    <w:p>
      <w:pPr>
        <w:pStyle w:val="ListBullet"/>
      </w:pPr>
      <w:r>
        <w:t>Logistic Regression identified 209 of 374 actual churners, while XGBoost identified 198. The corresponding missed churners were 165 and 176, respectively.</w:t>
      </w:r>
    </w:p>
    <w:p>
      <w:pPr>
        <w:pStyle w:val="ListBullet"/>
      </w:pPr>
      <w:r>
        <w:t>Logistic Regression was selected as the preferred candidate because churn identification and interpretability were priorities. This is a business-oriented choice rather than proof that it is superior on every metric.</w:t>
      </w:r>
    </w:p>
    <w:p>
      <w:pPr>
        <w:pStyle w:val="Heading1"/>
      </w:pPr>
      <w:r>
        <w:t>8. Limitations and Responsible Interpretation</w:t>
      </w:r>
    </w:p>
    <w:p>
      <w:pPr>
        <w:pStyle w:val="ListBullet"/>
      </w:pPr>
      <w:r>
        <w:t>The data is observational; associations do not establish causation.</w:t>
      </w:r>
    </w:p>
    <w:p>
      <w:pPr>
        <w:pStyle w:val="ListBullet"/>
      </w:pPr>
      <w:r>
        <w:t>The dataset has a moderate class imbalance, so accuracy should not be used as the only performance metric.</w:t>
      </w:r>
    </w:p>
    <w:p>
      <w:pPr>
        <w:pStyle w:val="ListBullet"/>
      </w:pPr>
      <w:r>
        <w:t>The baseline Logistic Regression recall of 55.88% means a substantial proportion of actual churners were missed.</w:t>
      </w:r>
    </w:p>
    <w:p>
      <w:pPr>
        <w:pStyle w:val="ListBullet"/>
      </w:pPr>
      <w:r>
        <w:t>The XGBoost search tested 20 randomly sampled combinations; the selected configuration is the best among those tested, not necessarily the global optimum.</w:t>
      </w:r>
    </w:p>
    <w:p>
      <w:pPr>
        <w:pStyle w:val="ListBullet"/>
      </w:pPr>
      <w:r>
        <w:t>The Logistic Regression hyperparameter grid search was planned, but its completed results were not available at the time this report was generated.</w:t>
      </w:r>
    </w:p>
    <w:p>
      <w:pPr>
        <w:pStyle w:val="ListBullet"/>
      </w:pPr>
      <w:r>
        <w:t>The test results are specific to this dataset and split; performance on future customers or another dataset may differ.</w:t>
      </w:r>
    </w:p>
    <w:p>
      <w:pPr>
        <w:pStyle w:val="ListBullet"/>
      </w:pPr>
      <w:r>
        <w:t>No causal claim should be made that a payment method or contract type causes churn based only on these group-level rates.</w:t>
      </w:r>
    </w:p>
    <w:p>
      <w:pPr>
        <w:pStyle w:val="Heading1"/>
      </w:pPr>
      <w:r>
        <w:t>9. Future Work</w:t>
      </w:r>
    </w:p>
    <w:p>
      <w:pPr>
        <w:pStyle w:val="ListNumber"/>
      </w:pPr>
      <w:r>
        <w:t>Complete Logistic Regression hyperparameter tuning and evaluate the tuned model on the same held-out test set.</w:t>
      </w:r>
    </w:p>
    <w:p>
      <w:pPr>
        <w:pStyle w:val="ListNumber"/>
      </w:pPr>
      <w:r>
        <w:t>Compare decision thresholds and examine the precision-recall trade-off, especially if identifying more churners is the business priority.</w:t>
      </w:r>
    </w:p>
    <w:p>
      <w:pPr>
        <w:pStyle w:val="ListNumber"/>
      </w:pPr>
      <w:r>
        <w:t>Add precision-recall curves and a ROC curve to the report.</w:t>
      </w:r>
    </w:p>
    <w:p>
      <w:pPr>
        <w:pStyle w:val="ListNumber"/>
      </w:pPr>
      <w:r>
        <w:t>Inspect Logistic Regression coefficients to explain how encoded features relate to predicted churn odds, with appropriate caution about correlation.</w:t>
      </w:r>
    </w:p>
    <w:p>
      <w:pPr>
        <w:pStyle w:val="ListNumber"/>
      </w:pPr>
      <w:r>
        <w:t>Perform error analysis on false negatives and false positives.</w:t>
      </w:r>
    </w:p>
    <w:p>
      <w:pPr>
        <w:pStyle w:val="ListNumber"/>
      </w:pPr>
      <w:r>
        <w:t>Validate the final workflow using cross-validation and, if available, newer or external customer data.</w:t>
      </w:r>
    </w:p>
    <w:p>
      <w:pPr>
        <w:pStyle w:val="ListNumber"/>
      </w:pPr>
      <w:r>
        <w:t>Create a concise executive dashboard or simple prediction interface after validating the model.</w:t>
      </w:r>
    </w:p>
    <w:p>
      <w:pPr>
        <w:pStyle w:val="Heading1"/>
      </w:pPr>
      <w:r>
        <w:t>10. Conclusion</w:t>
      </w:r>
    </w:p>
    <w:p>
      <w:r>
        <w:t>This project combines business-focused EDA with a reproducible machine learning workflow for telecom customer churn. Contract type, tenure, and payment method showed useful associations with churn. Logistic Regression provided a competitive baseline and outperformed tuned XGBoost on churn recall and F1-score, while XGBoost had slightly higher accuracy, precision, and ROC-AUC. Logistic Regression is therefore the current preferred candidate, with hyperparameter tuning and threshold analysis remaining important next steps.</w:t>
      </w:r>
    </w:p>
    <w:p>
      <w:pPr>
        <w:pStyle w:val="Heading1"/>
      </w:pPr>
      <w:r>
        <w:t>Appendix A — CV-ready project summary</w:t>
      </w:r>
    </w:p>
    <w:p>
      <w:r>
        <w:t>Customer Churn Analysis &amp; Prediction | Python, Pandas, Scikit-learn, XGBoost</w:t>
        <w:br/>
        <w:t>• Analyzed 7,043 telecom customer records to identify churn patterns across tenure, contract type, billing, and payment methods.</w:t>
        <w:br/>
        <w:t>• Built a preprocessing pipeline with numerical imputation and scaling, categorical imputation and one-hot encoding.</w:t>
        <w:br/>
        <w:t>• Compared Logistic Regression with tuned XGBoost using accuracy, precision, recall, F1-score, and ROC-AUC.</w:t>
        <w:br/>
        <w:t>• Achieved 80.55% baseline test accuracy and 0.8419 ROC-AUC with Logistic Regression; identified a 42.71% churn rate among month-to-month contract customers.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Telco Customer Churn Analysis &amp; Prediction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