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TAREA 0 — Preparación inicial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Objetivo:</w:t>
      </w:r>
      <w:r>
        <w:rPr>
          <w:rFonts w:ascii="Arial" w:hAnsi="Arial" w:eastAsia="Arial" w:cs="Arial"/>
          <w:color w:val="000000"/>
          <w:sz w:val="24"/>
        </w:rPr>
        <w:t xml:space="preserve"> dejar el entorno listo.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Qué hacer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Crear el repositorio individual.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Generar el proyecto Spring Boot.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Configurar </w:t>
      </w:r>
      <w:r>
        <w:rPr>
          <w:rFonts w:ascii="Arial" w:hAnsi="Arial" w:eastAsia="Arial" w:cs="Arial"/>
          <w:color w:val="000000"/>
          <w:sz w:val="20"/>
        </w:rPr>
        <w:t xml:space="preserve">.gitignore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Crear la estructura básica del repositorio.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Añadir un </w:t>
      </w:r>
      <w:r>
        <w:rPr>
          <w:rFonts w:ascii="Arial" w:hAnsi="Arial" w:eastAsia="Arial" w:cs="Arial"/>
          <w:color w:val="000000"/>
          <w:sz w:val="20"/>
        </w:rPr>
        <w:t xml:space="preserve">README.md</w:t>
      </w:r>
      <w:r>
        <w:rPr>
          <w:rFonts w:ascii="Arial" w:hAnsi="Arial" w:eastAsia="Arial" w:cs="Arial"/>
          <w:color w:val="000000"/>
          <w:sz w:val="24"/>
        </w:rPr>
        <w:t xml:space="preserve"> inicial (aunque esté incompleto).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Entregables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Proyecto clona y arranca.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TAREA 1 — Comprensión y diseño (SIN programar)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Objetivo:</w:t>
      </w:r>
      <w:r>
        <w:rPr>
          <w:rFonts w:ascii="Arial" w:hAnsi="Arial" w:eastAsia="Arial" w:cs="Arial"/>
          <w:color w:val="000000"/>
          <w:sz w:val="24"/>
        </w:rPr>
        <w:t xml:space="preserve"> entender el problema antes de escribir código.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Qué hacer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Diseñar las entidades y sus relaciones.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Definir los endpoints necesarios.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Escribir el razonamiento inicial.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Entregables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docs/db_schema.md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docs/api_endpoints.md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Primer bloque del </w:t>
      </w:r>
      <w:r>
        <w:rPr>
          <w:rFonts w:ascii="Arial" w:hAnsi="Arial" w:eastAsia="Arial" w:cs="Arial"/>
          <w:color w:val="000000"/>
          <w:sz w:val="20"/>
        </w:rPr>
        <w:t xml:space="preserve">engineering-log.md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Condición de cierre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Capacidad de explicar el proyecto </w:t>
      </w:r>
      <w:r>
        <w:rPr>
          <w:rFonts w:ascii="Arial" w:hAnsi="Arial" w:eastAsia="Arial" w:cs="Arial"/>
          <w:b/>
          <w:color w:val="000000"/>
          <w:sz w:val="24"/>
        </w:rPr>
        <w:t xml:space="preserve">sin mirar código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cs="Arial"/>
          <w:sz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TAREA 2 — Arranque técnico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Objetivo:</w:t>
      </w:r>
      <w:r>
        <w:rPr>
          <w:rFonts w:ascii="Arial" w:hAnsi="Arial" w:eastAsia="Arial" w:cs="Arial"/>
          <w:color w:val="000000"/>
          <w:sz w:val="24"/>
        </w:rPr>
        <w:t xml:space="preserve"> comprobar que el proyecto funciona técnicamente.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Qué hacer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Configurar la base de datos.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Probar conexión correcta.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Crear un endpoint de salud (</w:t>
      </w:r>
      <w:r>
        <w:rPr>
          <w:rFonts w:ascii="Arial" w:hAnsi="Arial" w:eastAsia="Arial" w:cs="Arial"/>
          <w:color w:val="000000"/>
          <w:sz w:val="20"/>
        </w:rPr>
        <w:t xml:space="preserve">GET /health</w:t>
      </w:r>
      <w:r>
        <w:rPr>
          <w:rFonts w:ascii="Arial" w:hAnsi="Arial" w:eastAsia="Arial" w:cs="Arial"/>
          <w:color w:val="000000"/>
          <w:sz w:val="24"/>
        </w:rPr>
        <w:t xml:space="preserve">).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Entregables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Aplicación levanta sin errores.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Endpoint responde 200.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sz w:val="20"/>
        </w:rPr>
      </w:r>
      <w:r>
        <w:rPr>
          <w:rFonts w:ascii="Arial" w:hAnsi="Arial" w:eastAsia="Arial" w:cs="Arial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TAREA 3 — Modelo de dominio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Objetivo:</w:t>
      </w:r>
      <w:r>
        <w:rPr>
          <w:rFonts w:ascii="Arial" w:hAnsi="Arial" w:eastAsia="Arial" w:cs="Arial"/>
          <w:color w:val="000000"/>
          <w:sz w:val="24"/>
        </w:rPr>
        <w:t xml:space="preserve"> pasar el diseño a código.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Qué hacer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Crear entidades JPA.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Definir relaciones (OneToMany, ManyToOne, etc.).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Crear repositorios.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Restricciones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No controllers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No lógica de negocio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sz w:val="20"/>
        </w:rPr>
      </w:r>
      <w:r>
        <w:rPr>
          <w:rFonts w:ascii="Arial" w:hAnsi="Arial" w:eastAsia="Arial" w:cs="Arial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TAREA 4 — DTOs y validaciones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Objetivo:</w:t>
      </w:r>
      <w:r>
        <w:rPr>
          <w:rFonts w:ascii="Arial" w:hAnsi="Arial" w:eastAsia="Arial" w:cs="Arial"/>
          <w:color w:val="000000"/>
          <w:sz w:val="24"/>
        </w:rPr>
        <w:t xml:space="preserve"> separar API y dominio.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Qué hacer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Crear DTOs de request y response.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Añadir validaciones con Bean Validation.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Crear mappers manuales.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Condición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Ningún controller debe devolver entidades directamente.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sz w:val="20"/>
        </w:rPr>
      </w:r>
      <w:r>
        <w:rPr>
          <w:rFonts w:ascii="Arial" w:hAnsi="Arial" w:eastAsia="Arial" w:cs="Arial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TAREA 5 — CRUD básico (listar + crear)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Objetivo:</w:t>
      </w:r>
      <w:r>
        <w:rPr>
          <w:rFonts w:ascii="Arial" w:hAnsi="Arial" w:eastAsia="Arial" w:cs="Arial"/>
          <w:color w:val="000000"/>
          <w:sz w:val="24"/>
        </w:rPr>
        <w:t xml:space="preserve"> primer flujo completo de la API.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Orden obligatorio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Listar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Crear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Qué hacer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Controllers mínimos.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Services con lógica básica.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Respuestas HTTP correctas.</w:t>
      </w:r>
      <w:r>
        <w:rPr>
          <w:rFonts w:ascii="Arial" w:hAnsi="Arial" w:cs="Arial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TAREA 6 — Reglas de negocio específicas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Objetivo:</w:t>
      </w:r>
      <w:r>
        <w:rPr>
          <w:rFonts w:ascii="Arial" w:hAnsi="Arial" w:eastAsia="Arial" w:cs="Arial"/>
          <w:color w:val="000000"/>
          <w:sz w:val="24"/>
        </w:rPr>
        <w:t xml:space="preserve"> implementar la lógica importante del proyecto.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Qué hacer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Validar reglas de negocio propias del dominio.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Cubrir casos borde.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Documentar razonamiento y decisiones.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sz w:val="20"/>
        </w:rPr>
      </w:r>
      <w:r>
        <w:rPr>
          <w:rFonts w:ascii="Arial" w:hAnsi="Arial" w:eastAsia="Arial" w:cs="Arial"/>
        </w:rPr>
      </w:r>
      <w:r>
        <w:rPr>
          <w:rFonts w:ascii="Arial" w:hAnsi="Arial" w:cs="Arial"/>
          <w:sz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TAREA 7 — Resto del CRUD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Objetivo:</w:t>
      </w:r>
      <w:r>
        <w:rPr>
          <w:rFonts w:ascii="Arial" w:hAnsi="Arial" w:eastAsia="Arial" w:cs="Arial"/>
          <w:color w:val="000000"/>
          <w:sz w:val="24"/>
        </w:rPr>
        <w:t xml:space="preserve"> completar funcionalidad.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Qué hacer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Obtener por ID.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Editar.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Borrar (si aplica según el proyecto).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Condición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Errores bien gestionados (404, 400, 409).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sz w:val="20"/>
        </w:rPr>
      </w:r>
      <w:r>
        <w:rPr>
          <w:rFonts w:ascii="Arial" w:hAnsi="Arial" w:eastAsia="Arial" w:cs="Arial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TAREA 8 — Manejo global de errores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Objetivo:</w:t>
      </w:r>
      <w:r>
        <w:rPr>
          <w:rFonts w:ascii="Arial" w:hAnsi="Arial" w:eastAsia="Arial" w:cs="Arial"/>
          <w:color w:val="000000"/>
          <w:sz w:val="24"/>
        </w:rPr>
        <w:t xml:space="preserve"> comportamiento profesional de la API.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Qué hacer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Crear excepciones personalizadas.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Centralizar errores con </w:t>
      </w:r>
      <w:r>
        <w:rPr>
          <w:rFonts w:ascii="Arial" w:hAnsi="Arial" w:eastAsia="Arial" w:cs="Arial"/>
          <w:color w:val="000000"/>
          <w:sz w:val="20"/>
        </w:rPr>
        <w:t xml:space="preserve">@ControllerAdvice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Mensajes claros y coherentes.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sz w:val="20"/>
        </w:rPr>
      </w:r>
      <w:r>
        <w:rPr>
          <w:rFonts w:ascii="Arial" w:hAnsi="Arial" w:eastAsia="Arial" w:cs="Arial"/>
        </w:rPr>
      </w:r>
      <w:r>
        <w:rPr>
          <w:rFonts w:ascii="Arial" w:hAnsi="Arial" w:cs="Arial"/>
          <w:sz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TAREA 9 — Documentación final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Objetivo:</w:t>
      </w:r>
      <w:r>
        <w:rPr>
          <w:rFonts w:ascii="Arial" w:hAnsi="Arial" w:eastAsia="Arial" w:cs="Arial"/>
          <w:color w:val="000000"/>
          <w:sz w:val="24"/>
        </w:rPr>
        <w:t xml:space="preserve"> cerrar el proyecto como entregable real.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Qué hacer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Completar </w:t>
      </w:r>
      <w:r>
        <w:rPr>
          <w:rFonts w:ascii="Arial" w:hAnsi="Arial" w:eastAsia="Arial" w:cs="Arial"/>
          <w:color w:val="000000"/>
          <w:sz w:val="20"/>
        </w:rPr>
        <w:t xml:space="preserve">README.md</w:t>
      </w:r>
      <w:r>
        <w:rPr>
          <w:rFonts w:ascii="Arial" w:hAnsi="Arial" w:eastAsia="Arial" w:cs="Arial"/>
          <w:color w:val="000000"/>
          <w:sz w:val="24"/>
        </w:rPr>
        <w:t xml:space="preserve">: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descripción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requisitos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cómo ejecutar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ejemplos de requests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Revisar y completar el Engineering Log.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Asegurar coherencia docs ↔ código.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sz w:val="20"/>
        </w:rPr>
      </w:r>
      <w:r>
        <w:rPr>
          <w:rFonts w:ascii="Arial" w:hAnsi="Arial" w:eastAsia="Arial" w:cs="Arial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TAREA 10 — Revisión y defensa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Objetivo:</w:t>
      </w:r>
      <w:r>
        <w:rPr>
          <w:rFonts w:ascii="Arial" w:hAnsi="Arial" w:eastAsia="Arial" w:cs="Arial"/>
          <w:color w:val="000000"/>
          <w:sz w:val="24"/>
        </w:rPr>
        <w:t xml:space="preserve"> demostrar comprensión real.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Qué hacer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Explicar el proyecto completo.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Defender decisiones técnicas.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Revisar commits y razonamiento.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Condición de cierre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Capacidad de explicar todo </w:t>
      </w:r>
      <w:r>
        <w:rPr>
          <w:rFonts w:ascii="Arial" w:hAnsi="Arial" w:eastAsia="Arial" w:cs="Arial"/>
          <w:b/>
          <w:color w:val="000000"/>
          <w:sz w:val="24"/>
        </w:rPr>
        <w:t xml:space="preserve">sin ayuda externa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eastAsia="Arial" w:cs="Arial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Normas finales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No avanzar varias tareas a la vez.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Más código </w:t>
      </w:r>
      <w:r>
        <w:rPr>
          <w:rFonts w:ascii="Arial" w:hAnsi="Arial" w:eastAsia="Arial" w:cs="Arial"/>
          <w:b/>
          <w:color w:val="000000"/>
          <w:sz w:val="24"/>
        </w:rPr>
        <w:t xml:space="preserve">no significa</w:t>
      </w:r>
      <w:r>
        <w:rPr>
          <w:rFonts w:ascii="Arial" w:hAnsi="Arial" w:eastAsia="Arial" w:cs="Arial"/>
          <w:color w:val="000000"/>
          <w:sz w:val="24"/>
        </w:rPr>
        <w:t xml:space="preserve"> mejor proyecto.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El proceso y el razonamiento </w:t>
      </w:r>
      <w:r>
        <w:rPr>
          <w:rFonts w:ascii="Arial" w:hAnsi="Arial" w:eastAsia="Arial" w:cs="Arial"/>
          <w:b/>
          <w:color w:val="000000"/>
          <w:sz w:val="24"/>
        </w:rPr>
        <w:t xml:space="preserve">forman parte de la entrega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El Engineering Log es obligatorio y evaluable.</w:t>
      </w:r>
      <w:r>
        <w:rPr>
          <w:rFonts w:ascii="Arial" w:hAnsi="Arial" w:eastAsia="Arial" w:cs="Arial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4E95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8D34E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197C0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C300F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6766A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0FB0A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F265B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ECE31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45BC0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EA51F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DEE6E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B07493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nsid w:val="0E3C99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01CAA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3C5ED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7F1A8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DE3C4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148077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53CCA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3EAA3F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32D0F8D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2026-02-04T13:26:34Z</dcterms:modified>
</cp:coreProperties>
</file>