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0"/>
      </w:pPr>
    </w:p>
    <w:p>
      <w:pPr>
        <w:jc w:val="center"/>
      </w:pPr>
      <w:r>
        <w:rPr>
          <w:b/>
          <w:color w:val="315FC2"/>
          <w:sz w:val="20"/>
        </w:rPr>
        <w:t>REFERÊNCIA ARQUITETURAL</w:t>
      </w:r>
    </w:p>
    <w:p>
      <w:pPr>
        <w:pStyle w:val="Title"/>
        <w:jc w:val="center"/>
      </w:pPr>
      <w:r>
        <w:t>Patterns recomendados</w:t>
        <w:br/>
        <w:t>para evolução do Main</w:t>
      </w:r>
    </w:p>
    <w:p>
      <w:pPr>
        <w:pStyle w:val="Subtitle"/>
        <w:jc w:val="center"/>
      </w:pPr>
      <w:r>
        <w:t>Aplicação atual, adoção planejada e critérios para evitar complexidade prematura</w:t>
      </w:r>
    </w:p>
    <w:p>
      <w:pPr>
        <w:spacing w:after="76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60"/>
            </w:pPr>
            <w:r>
              <w:rPr>
                <w:b/>
                <w:color w:val="17233C"/>
              </w:rPr>
              <w:t>Propósito</w:t>
            </w:r>
          </w:p>
          <w:p>
            <w:pPr>
              <w:spacing w:after="0"/>
            </w:pPr>
            <w:r>
              <w:t>Material de estudo e referência para orientar as PRs de agentes, permissões, documentos, integrações e evolução low-code.</w:t>
            </w:r>
          </w:p>
        </w:tc>
        <w:trPr>
          <w:tblHeader/>
        </w:trPr>
      </w:tr>
    </w:tbl>
    <w:p>
      <w:pPr>
        <w:spacing w:after="20"/>
      </w:pPr>
    </w:p>
    <w:p>
      <w:pPr>
        <w:jc w:val="center"/>
      </w:pPr>
      <w:r>
        <w:rPr>
          <w:i/>
        </w:rPr>
        <w:t>MainDDD  •  Agosto de 2026</w:t>
      </w:r>
    </w:p>
    <w:p>
      <w:r>
        <w:br w:type="page"/>
      </w:r>
    </w:p>
    <w:p>
      <w:pPr>
        <w:pStyle w:val="Heading1"/>
        <w:keepNext/>
      </w:pPr>
      <w:r>
        <w:t>1. Visão executiva</w:t>
      </w:r>
    </w:p>
    <w:p>
      <w:r>
        <w:t>A arquitetura atual já combina DDD incremental, Repository, Unit of Work, Specification, eventos de domínio, Outbox e autorização por policies. A próxima evolução deve privilegiar patterns que resolvem necessidades já visíveis: múltiplos provedores de identidade, permissões dinâmicas, comportamentos variáveis por tipo de documento e integrações externas.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7F2E8"/>
          </w:tcPr>
          <w:p>
            <w:pPr>
              <w:spacing w:after="60"/>
            </w:pPr>
            <w:r>
              <w:rPr>
                <w:b/>
                <w:color w:val="176B3A"/>
              </w:rPr>
              <w:t>Recomendação central</w:t>
            </w:r>
          </w:p>
          <w:p>
            <w:pPr>
              <w:spacing w:after="0"/>
            </w:pPr>
            <w:r>
              <w:t>Adotar Strategy + Adapter na autenticação, Composite no catálogo de recursos e Policy Object na autorização. Introduzir Mediator e Decorators gradualmente. Reservar State Machine, Saga e Process Manager para quando os workflows realmente exigirem.</w:t>
            </w:r>
          </w:p>
        </w:tc>
        <w:trPr>
          <w:tblHeader/>
        </w:trPr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300"/>
        <w:gridCol w:w="4560"/>
      </w:tblGrid>
      <w:tr>
        <w:trPr>
          <w:tblHeader/>
        </w:trPr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7233C"/>
                <w:sz w:val="18"/>
              </w:rPr>
              <w:t>Horizonte</w:t>
            </w:r>
          </w:p>
        </w:tc>
        <w:tc>
          <w:tcPr>
            <w:tcW w:type="dxa" w:w="3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7233C"/>
                <w:sz w:val="18"/>
              </w:rPr>
              <w:t>Patterns prioritários</w:t>
            </w:r>
          </w:p>
        </w:tc>
        <w:tc>
          <w:tcPr>
            <w:tcW w:type="dxa" w:w="4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7233C"/>
                <w:sz w:val="18"/>
              </w:rPr>
              <w:t>Aplicação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Agora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Strategy, Adapter, Composite, Policy Object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Agentes, identidades, recursos e permissões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Próximas evoluções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Mediator, Decorator, Chain of Responsibility, Factory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Casos de uso e processamento de documentos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Quando o domínio crescer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State Machine, Anti-Corruption Layer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Workflows configuráveis e integrações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Somente em processos distribuídos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Saga / Process Manager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Estoque, faturamento, financeiro e expedição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2. Critério de adoção</w:t>
      </w:r>
    </w:p>
    <w:p>
      <w:r>
        <w:t>Um pattern deve entrar quando reduz uma complexidade que já existe ou está imediatamente prevista. O nome do pattern não é objetivo; o objetivo é melhorar coesão, extensibilidade, teste e clareza operacional.</w:t>
      </w:r>
    </w:p>
    <w:p>
      <w:pPr>
        <w:pStyle w:val="ListBullet"/>
        <w:spacing w:after="80" w:line="300" w:lineRule="auto"/>
        <w:ind w:left="540" w:hanging="271"/>
      </w:pPr>
      <w:r>
        <w:t>Existe mais de uma implementação real ou prevista para o mesmo comportamento.</w:t>
      </w:r>
    </w:p>
    <w:p>
      <w:pPr>
        <w:pStyle w:val="ListBullet"/>
        <w:spacing w:after="80" w:line="300" w:lineRule="auto"/>
        <w:ind w:left="540" w:hanging="271"/>
      </w:pPr>
      <w:r>
        <w:t>Há condicionais repetidas para selecionar comportamentos.</w:t>
      </w:r>
    </w:p>
    <w:p>
      <w:pPr>
        <w:pStyle w:val="ListBullet"/>
        <w:spacing w:after="80" w:line="300" w:lineRule="auto"/>
        <w:ind w:left="540" w:hanging="271"/>
      </w:pPr>
      <w:r>
        <w:t>Uma regra transversal aparece em vários casos de uso.</w:t>
      </w:r>
    </w:p>
    <w:p>
      <w:pPr>
        <w:pStyle w:val="ListBullet"/>
        <w:spacing w:after="80" w:line="300" w:lineRule="auto"/>
        <w:ind w:left="540" w:hanging="271"/>
      </w:pPr>
      <w:r>
        <w:t>O ciclo de vida possui transições e restrições difíceis de manter.</w:t>
      </w:r>
    </w:p>
    <w:p>
      <w:pPr>
        <w:pStyle w:val="ListBullet"/>
        <w:spacing w:after="80" w:line="300" w:lineRule="auto"/>
        <w:ind w:left="540" w:hanging="271"/>
      </w:pPr>
      <w:r>
        <w:t>Uma integração externa está contaminando o modelo interno.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4CE"/>
          </w:tcPr>
          <w:p>
            <w:pPr>
              <w:spacing w:after="60"/>
            </w:pPr>
            <w:r>
              <w:rPr>
                <w:b/>
                <w:color w:val="7A5A00"/>
              </w:rPr>
              <w:t>Sinal de excesso</w:t>
            </w:r>
          </w:p>
          <w:p>
            <w:pPr>
              <w:spacing w:after="0"/>
            </w:pPr>
            <w:r>
              <w:t>Se o pattern cria mais classes do que decisões de negócio, exige explicação maior que o problema ou não possui uma segunda implementação concreta, sua adoção provavelmente está antecipada.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1"/>
        <w:keepNext/>
      </w:pPr>
      <w:r>
        <w:t>3. Patterns já presentes como fundação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460"/>
        <w:gridCol w:w="4200"/>
      </w:tblGrid>
      <w:tr>
        <w:trPr>
          <w:tblHeader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7233C"/>
                <w:sz w:val="18"/>
              </w:rPr>
              <w:t>Pattern</w:t>
            </w:r>
          </w:p>
        </w:tc>
        <w:tc>
          <w:tcPr>
            <w:tcW w:type="dxa" w:w="34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7233C"/>
                <w:sz w:val="18"/>
              </w:rPr>
              <w:t>Uso atual</w:t>
            </w:r>
          </w:p>
        </w:tc>
        <w:tc>
          <w:tcPr>
            <w:tcW w:type="dxa" w:w="4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7233C"/>
                <w:sz w:val="18"/>
              </w:rPr>
              <w:t>Papel na evolução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Repository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Abstrai persistência de agregados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Mantém aplicação e domínio independentes do EF Core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Unit of Work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AppDbContext confirma uma unidade transacional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Base para processamento atômico de documentos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Specification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Filtros, ordenação e paginação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Consulta consistente e reutilizável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Aggregate Root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Documento, Pessoa, Estoque e configurações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Proteção de invariantes e eventos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Value Object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CPF, CNPJ, preço, vigência e prefixos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Validação próxima ao significado do valor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Domain Events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Documento e estoque publicam fatos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Desacopla auditoria e efeitos posteriores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Transactional Outbox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Persiste e processa eventos com retentativa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Base confiável para integrações futuras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Optimistic Concurrency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RowVersion em registros editáveis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Evita perda silenciosa de alterações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4. Recomendados para implementação imediata</w:t>
      </w:r>
    </w:p>
    <w:p>
      <w:pPr>
        <w:pStyle w:val="Heading2"/>
        <w:keepNext/>
      </w:pPr>
      <w:r>
        <w:t>4.1 Strategy + Adapter para autenticação</w:t>
      </w:r>
    </w:p>
    <w:p>
      <w:r>
        <w:t>A autenticação deve variar por provedor sem modificar o agente ou suas permissões. Strategy seleciona o comportamento; Adapter traduz APIs e claims externos para o contrato interno.</w:t>
      </w:r>
    </w:p>
    <w:p>
      <w:pPr>
        <w:pStyle w:val="CodeBlock"/>
        <w:shd w:fill="F3F5F8"/>
      </w:pPr>
      <w:r>
        <w:t>IProvedorAutenticacao</w:t>
        <w:br/>
        <w:t xml:space="preserve">  ├─ DevelopmentAuthentication</w:t>
        <w:br/>
        <w:t xml:space="preserve">  ├─ LocalAuthentication</w:t>
        <w:br/>
        <w:t xml:space="preserve">  └─ EntraAuthentication</w:t>
        <w:br/>
        <w:t xml:space="preserve">          ↓</w:t>
        <w:br/>
        <w:t xml:space="preserve">      AgenteAutenticado</w:t>
      </w:r>
    </w:p>
    <w:p>
      <w:pPr>
        <w:pStyle w:val="ListBullet"/>
        <w:spacing w:after="80" w:line="300" w:lineRule="auto"/>
        <w:ind w:left="540" w:hanging="271"/>
      </w:pPr>
      <w:r>
        <w:t>Aplicar na PR 41 para separar agente, identidade e forma de entrada.</w:t>
      </w:r>
    </w:p>
    <w:p>
      <w:pPr>
        <w:pStyle w:val="ListBullet"/>
        <w:spacing w:after="80" w:line="300" w:lineRule="auto"/>
        <w:ind w:left="540" w:hanging="271"/>
      </w:pPr>
      <w:r>
        <w:t>Usar um resolver simples por tipo de identidade; não exigir Abstract Factory.</w:t>
      </w:r>
    </w:p>
    <w:p>
      <w:pPr>
        <w:pStyle w:val="ListBullet"/>
        <w:spacing w:after="80" w:line="300" w:lineRule="auto"/>
        <w:ind w:left="540" w:hanging="271"/>
      </w:pPr>
      <w:r>
        <w:t>Manter tokens e claims Microsoft fora do domínio.</w:t>
      </w:r>
    </w:p>
    <w:p>
      <w:pPr>
        <w:pStyle w:val="Heading2"/>
        <w:keepNext/>
      </w:pPr>
      <w:r>
        <w:t>4.2 Composite para recursos do sistema</w:t>
      </w:r>
    </w:p>
    <w:p>
      <w:r>
        <w:t>Módulos, telas e funcionalidades formam uma árvore. Composite permite tratar um módulo e uma função com o mesmo contrato de recurso.</w:t>
      </w:r>
    </w:p>
    <w:p>
      <w:pPr>
        <w:pStyle w:val="CodeBlock"/>
        <w:shd w:fill="F3F5F8"/>
      </w:pPr>
      <w:r>
        <w:t>Sistema</w:t>
        <w:br/>
        <w:t xml:space="preserve">  └─ Manutenção</w:t>
        <w:br/>
        <w:t xml:space="preserve">      ├─ Pessoas</w:t>
        <w:br/>
        <w:t xml:space="preserve">      │   ├─ Ler</w:t>
        <w:br/>
        <w:t xml:space="preserve">      │   ├─ Criar</w:t>
        <w:br/>
        <w:t xml:space="preserve">      │   └─ Alterar</w:t>
        <w:br/>
        <w:t xml:space="preserve">      └─ Produtos</w:t>
      </w:r>
    </w:p>
    <w:p>
      <w:pPr>
        <w:pStyle w:val="ListBullet"/>
        <w:spacing w:after="80" w:line="300" w:lineRule="auto"/>
        <w:ind w:left="540" w:hanging="271"/>
      </w:pPr>
      <w:r>
        <w:t>Aplicar na PR 42 ao catálogo dinâmico de recursos e ações.</w:t>
      </w:r>
    </w:p>
    <w:p>
      <w:pPr>
        <w:pStyle w:val="ListBullet"/>
        <w:spacing w:after="80" w:line="300" w:lineRule="auto"/>
        <w:ind w:left="540" w:hanging="271"/>
      </w:pPr>
      <w:r>
        <w:t>Permitir que o futuro low-code registre recursos automaticamente.</w:t>
      </w:r>
    </w:p>
    <w:p>
      <w:pPr>
        <w:pStyle w:val="ListBullet"/>
        <w:spacing w:after="80" w:line="300" w:lineRule="auto"/>
        <w:ind w:left="540" w:hanging="271"/>
      </w:pPr>
      <w:r>
        <w:t>A ação 'Todos' deve ser um comando visual, não uma permissão persistida.</w:t>
      </w:r>
    </w:p>
    <w:p>
      <w:pPr>
        <w:pStyle w:val="Heading2"/>
        <w:keepNext/>
      </w:pPr>
      <w:r>
        <w:t>4.3 Policy Object para permissão efetiva</w:t>
      </w:r>
    </w:p>
    <w:p>
      <w:r>
        <w:t>A política encapsula a precedência entre permissões herdadas e especializações individuais e devolve uma decisão explicável.</w:t>
      </w:r>
    </w:p>
    <w:p>
      <w:pPr>
        <w:pStyle w:val="CodeBlock"/>
        <w:shd w:fill="F3F5F8"/>
      </w:pPr>
      <w:r>
        <w:t>Negação individual</w:t>
        <w:br/>
        <w:t xml:space="preserve">  → Permissão individual</w:t>
        <w:br/>
        <w:t xml:space="preserve">    → Permissão herdada do papel</w:t>
        <w:br/>
        <w:t xml:space="preserve">      → Negação por padrão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7233C"/>
                <w:sz w:val="18"/>
              </w:rPr>
              <w:t>Saída da política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7233C"/>
                <w:sz w:val="18"/>
              </w:rPr>
              <w:t>Exemplo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Permitido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true ou false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Origem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Papel, concessão individual ou negação individual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Recurso e ação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documentos.processar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Motivo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Negado explicitamente para o agente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5. Patterns para casos de uso</w:t>
      </w:r>
    </w:p>
    <w:p>
      <w:pPr>
        <w:pStyle w:val="Heading2"/>
        <w:keepNext/>
      </w:pPr>
      <w:r>
        <w:t>5.1 Mediator incremental</w:t>
      </w:r>
    </w:p>
    <w:p>
      <w:r>
        <w:t>O Mediator pode padronizar o despacho de comandos e consultas, mas uma migração total agora seria grande. A recomendação é adotá-lo primeiro no módulo de acesso e migrar os módulos existentes quando forem alterados.</w:t>
      </w:r>
    </w:p>
    <w:p>
      <w:pPr>
        <w:pStyle w:val="CodeBlock"/>
        <w:shd w:fill="F3F5F8"/>
      </w:pPr>
      <w:r>
        <w:t>Controller → Mediator → Handler</w:t>
        <w:br/>
        <w:t xml:space="preserve">                         ↑</w:t>
        <w:br/>
        <w:t xml:space="preserve">              behaviors transversais</w:t>
      </w:r>
    </w:p>
    <w:p>
      <w:pPr>
        <w:pStyle w:val="Heading2"/>
        <w:keepNext/>
      </w:pPr>
      <w:r>
        <w:t>5.2 Decorator / Pipeline Behavior</w:t>
      </w:r>
    </w:p>
    <w:p>
      <w:r>
        <w:t>Com handlers padronizados, comportamentos transversais deixam de ser repetidos em cada caso de uso.</w:t>
      </w:r>
    </w:p>
    <w:p>
      <w:pPr>
        <w:pStyle w:val="CodeBlock"/>
        <w:shd w:fill="F3F5F8"/>
      </w:pPr>
      <w:r>
        <w:t>Autorização</w:t>
        <w:br/>
        <w:t xml:space="preserve">  → Validação</w:t>
        <w:br/>
        <w:t xml:space="preserve">    → Idempotência</w:t>
        <w:br/>
        <w:t xml:space="preserve">      → Transação</w:t>
        <w:br/>
        <w:t xml:space="preserve">        → Auditoria</w:t>
        <w:br/>
        <w:t xml:space="preserve">          → Handler</w:t>
      </w:r>
    </w:p>
    <w:p>
      <w:pPr>
        <w:pStyle w:val="ListBullet"/>
        <w:spacing w:after="80" w:line="300" w:lineRule="auto"/>
        <w:ind w:left="540" w:hanging="271"/>
      </w:pPr>
      <w:r>
        <w:t>Autorização deve ocorrer antes da mutação.</w:t>
      </w:r>
    </w:p>
    <w:p>
      <w:pPr>
        <w:pStyle w:val="ListBullet"/>
        <w:spacing w:after="80" w:line="300" w:lineRule="auto"/>
        <w:ind w:left="540" w:hanging="271"/>
      </w:pPr>
      <w:r>
        <w:t>Transação deve envolver somente o trecho que modifica estado.</w:t>
      </w:r>
    </w:p>
    <w:p>
      <w:pPr>
        <w:pStyle w:val="ListBullet"/>
        <w:spacing w:after="80" w:line="300" w:lineRule="auto"/>
        <w:ind w:left="540" w:hanging="271"/>
      </w:pPr>
      <w:r>
        <w:t>Auditoria e Outbox precisam preservar a atomicidade definida.</w:t>
      </w:r>
    </w:p>
    <w:p>
      <w:pPr>
        <w:pStyle w:val="Heading1"/>
        <w:keepNext/>
      </w:pPr>
      <w:r>
        <w:t>6. Patterns para Documentos</w:t>
      </w:r>
    </w:p>
    <w:p>
      <w:r>
        <w:t>Documento deve permanecer neutro. O Tipo de Documento seleciona capacidades independentes: saldo de controle, estoque, aprovação, financeiro e faturamento. Nem todo documento executa todos os comportamentos.</w:t>
      </w:r>
    </w:p>
    <w:p>
      <w:pPr>
        <w:pStyle w:val="Heading2"/>
        <w:keepNext/>
      </w:pPr>
      <w:r>
        <w:t>6.1 Chain of Responsibility para validações</w:t>
      </w:r>
    </w:p>
    <w:p>
      <w:pPr>
        <w:pStyle w:val="CodeBlock"/>
        <w:shd w:fill="F3F5F8"/>
      </w:pPr>
      <w:r>
        <w:t>Validar tipo</w:t>
        <w:br/>
        <w:t xml:space="preserve">  → validar agente</w:t>
        <w:br/>
        <w:t xml:space="preserve">    → validar produto</w:t>
        <w:br/>
        <w:t xml:space="preserve">      → validar embalagem</w:t>
        <w:br/>
        <w:t xml:space="preserve">        → validar locais e saldo</w:t>
        <w:br/>
        <w:t xml:space="preserve">          → autorizar processamento</w:t>
      </w:r>
    </w:p>
    <w:p>
      <w:pPr>
        <w:pStyle w:val="ListBullet"/>
        <w:spacing w:after="80" w:line="300" w:lineRule="auto"/>
        <w:ind w:left="540" w:hanging="271"/>
      </w:pPr>
      <w:r>
        <w:t>Cada regra deve validar uma responsabilidade.</w:t>
      </w:r>
    </w:p>
    <w:p>
      <w:pPr>
        <w:pStyle w:val="ListBullet"/>
        <w:spacing w:after="80" w:line="300" w:lineRule="auto"/>
        <w:ind w:left="540" w:hanging="271"/>
      </w:pPr>
      <w:r>
        <w:t>A cadeia pode variar por finalidade do Tipo de Documento.</w:t>
      </w:r>
    </w:p>
    <w:p>
      <w:pPr>
        <w:pStyle w:val="ListBullet"/>
        <w:spacing w:after="80" w:line="300" w:lineRule="auto"/>
        <w:ind w:left="540" w:hanging="271"/>
      </w:pPr>
      <w:r>
        <w:t>A cadeia valida; a mutação acontece somente após aprovação completa.</w:t>
      </w:r>
    </w:p>
    <w:p>
      <w:pPr>
        <w:pStyle w:val="Heading2"/>
        <w:keepNext/>
      </w:pPr>
      <w:r>
        <w:t>6.2 Strategy + Factory para processamento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200"/>
        <w:gridCol w:w="4060"/>
      </w:tblGrid>
      <w:tr>
        <w:trPr>
          <w:tblHeader/>
        </w:trPr>
        <w:tc>
          <w:tcPr>
            <w:tcW w:type="dxa" w:w="2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7233C"/>
                <w:sz w:val="18"/>
              </w:rPr>
              <w:t>Strategy</w:t>
            </w:r>
          </w:p>
        </w:tc>
        <w:tc>
          <w:tcPr>
            <w:tcW w:type="dxa" w:w="3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7233C"/>
                <w:sz w:val="18"/>
              </w:rPr>
              <w:t>Quando usar</w:t>
            </w:r>
          </w:p>
        </w:tc>
        <w:tc>
          <w:tcPr>
            <w:tcW w:type="dxa" w:w="40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7233C"/>
                <w:sz w:val="18"/>
              </w:rPr>
              <w:t>Efeito típico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Documento neutro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Orçamento ou registro informativo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Fecha edição sem estoque ou financeiro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Saldo de controle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Pedido ou necessidade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Atualiza solicitado, atendido e pendente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Movimentação de estoque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Entrada, saída ou transferência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Origem e/ou destino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Financeiro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Faturamento futuro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Publica evento para geração financeira</w:t>
            </w:r>
          </w:p>
        </w:tc>
      </w:tr>
    </w:tbl>
    <w:p>
      <w:pPr>
        <w:spacing w:after="20"/>
      </w:pPr>
    </w:p>
    <w:p>
      <w:r>
        <w:t>Um resolver/factory simples escolhe as strategies habilitadas pelo Tipo de Documento. A composição é preferível a uma única hierarquia rígida.</w:t>
      </w:r>
    </w:p>
    <w:p>
      <w:pPr>
        <w:pStyle w:val="Heading2"/>
        <w:keepNext/>
      </w:pPr>
      <w:r>
        <w:t>6.3 State e State Machine</w:t>
      </w:r>
    </w:p>
    <w:p>
      <w:r>
        <w:t>O State GoF não é necessário enquanto Aberto, Processado, Cancelado e Estornado continuarem compreensíveis no agregado. Uma State Machine persistida torna-se interessante quando cada Tipo de Documento possuir estados e transições configuráveis.</w:t>
      </w:r>
    </w:p>
    <w:p>
      <w:pPr>
        <w:pStyle w:val="CodeBlock"/>
        <w:shd w:fill="F3F5F8"/>
      </w:pPr>
      <w:r>
        <w:t>Pedido de venda:</w:t>
        <w:br/>
        <w:t>Rascunho → Aprovação → Separação → Faturamento → Expedição</w:t>
        <w:br/>
        <w:br/>
        <w:t>Movimentação interna:</w:t>
        <w:br/>
        <w:t>Aberto → Autorizado → Em trânsito → Recebido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60"/>
            </w:pPr>
            <w:r>
              <w:rPr>
                <w:b/>
                <w:color w:val="17233C"/>
              </w:rPr>
              <w:t>Decisão</w:t>
            </w:r>
          </w:p>
          <w:p>
            <w:pPr>
              <w:spacing w:after="0"/>
            </w:pPr>
            <w:r>
              <w:t>Manter o fluxo básico atual. Introduzir State Machine somente quando novos estados, aprovações e transições configuráveis forem requisitos concretos.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1"/>
        <w:keepNext/>
      </w:pPr>
      <w:r>
        <w:t>7. Patterns para integrações futuras</w:t>
      </w:r>
    </w:p>
    <w:p>
      <w:pPr>
        <w:pStyle w:val="Heading2"/>
        <w:keepNext/>
      </w:pPr>
      <w:r>
        <w:t>7.1 Anti-Corruption Layer</w:t>
      </w:r>
    </w:p>
    <w:p>
      <w:r>
        <w:t>Modelos do Entra, billing, serviços fiscais ou Azure não devem se tornar entidades do domínio. Uma camada de tradução protege o vocabulário interno.</w:t>
      </w:r>
    </w:p>
    <w:p>
      <w:pPr>
        <w:pStyle w:val="CodeBlock"/>
        <w:shd w:fill="F3F5F8"/>
      </w:pPr>
      <w:r>
        <w:t>Modelo externo Microsoft</w:t>
        <w:br/>
        <w:t xml:space="preserve">  → Adapter / tradução</w:t>
        <w:br/>
        <w:t xml:space="preserve">    → IdentidadeAcesso interna</w:t>
      </w:r>
    </w:p>
    <w:p>
      <w:pPr>
        <w:pStyle w:val="Heading2"/>
        <w:keepNext/>
      </w:pPr>
      <w:r>
        <w:t>7.2 Saga / Process Manager</w:t>
      </w:r>
    </w:p>
    <w:p>
      <w:r>
        <w:t>Será útil quando uma operação atravessar módulos, bancos ou serviços e não puder ser concluída por uma única transação.</w:t>
      </w:r>
    </w:p>
    <w:p>
      <w:pPr>
        <w:pStyle w:val="CodeBlock"/>
        <w:shd w:fill="F3F5F8"/>
      </w:pPr>
      <w:r>
        <w:t>Pedido processado</w:t>
        <w:br/>
        <w:t xml:space="preserve">  → reservar estoque</w:t>
        <w:br/>
        <w:t xml:space="preserve">    → separar mercadoria</w:t>
        <w:br/>
        <w:t xml:space="preserve">      → faturar</w:t>
        <w:br/>
        <w:t xml:space="preserve">        → gerar financeiro</w:t>
        <w:br/>
        <w:t xml:space="preserve">          → expedir</w:t>
      </w:r>
    </w:p>
    <w:p>
      <w:pPr>
        <w:pStyle w:val="ListBullet"/>
        <w:spacing w:after="80" w:line="300" w:lineRule="auto"/>
        <w:ind w:left="540" w:hanging="271"/>
      </w:pPr>
      <w:r>
        <w:t>Persistir o progresso de cada etapa.</w:t>
      </w:r>
    </w:p>
    <w:p>
      <w:pPr>
        <w:pStyle w:val="ListBullet"/>
        <w:spacing w:after="80" w:line="300" w:lineRule="auto"/>
        <w:ind w:left="540" w:hanging="271"/>
      </w:pPr>
      <w:r>
        <w:t>Definir retentativas e compensações.</w:t>
      </w:r>
    </w:p>
    <w:p>
      <w:pPr>
        <w:pStyle w:val="ListBullet"/>
        <w:spacing w:after="80" w:line="300" w:lineRule="auto"/>
        <w:ind w:left="540" w:hanging="271"/>
      </w:pPr>
      <w:r>
        <w:t>Não adotar enquanto o processo continuar local e transacional.</w:t>
      </w:r>
    </w:p>
    <w:p>
      <w:pPr>
        <w:pStyle w:val="Heading1"/>
        <w:keepNext/>
      </w:pPr>
      <w:r>
        <w:t>8. Patterns não recomendados agora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900"/>
        <w:gridCol w:w="3660"/>
      </w:tblGrid>
      <w:tr>
        <w:trPr>
          <w:tblHeader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7233C"/>
                <w:sz w:val="18"/>
              </w:rPr>
              <w:t>Pattern</w:t>
            </w:r>
          </w:p>
        </w:tc>
        <w:tc>
          <w:tcPr>
            <w:tcW w:type="dxa" w:w="3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7233C"/>
                <w:sz w:val="18"/>
              </w:rPr>
              <w:t>Motivo para aguardar</w:t>
            </w:r>
          </w:p>
        </w:tc>
        <w:tc>
          <w:tcPr>
            <w:tcW w:type="dxa" w:w="36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7233C"/>
                <w:sz w:val="18"/>
              </w:rPr>
              <w:t>Gatilho para reavaliar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Event Sourcing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Estado atual, auditoria e Outbox já atendem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Necessidade real de reconstrução temporal completa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Abstract Factory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Resolvers por DI são suficientes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Famílias completas e intercambiáveis de objetos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State em toda entidade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Ativo/inativo não justifica classes de estado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Comportamentos extensos por estado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Saga imediata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Banco e transação ainda são únicos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Processos distribuídos e compensações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9. Mapeamento para o roadmap de acesso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3500"/>
        <w:gridCol w:w="5160"/>
      </w:tblGrid>
      <w:tr>
        <w:trPr>
          <w:tblHeader/>
        </w:trPr>
        <w:tc>
          <w:tcPr>
            <w:tcW w:type="dxa" w:w="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7233C"/>
                <w:sz w:val="18"/>
              </w:rPr>
              <w:t>PR</w:t>
            </w:r>
          </w:p>
        </w:tc>
        <w:tc>
          <w:tcPr>
            <w:tcW w:type="dxa" w:w="3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7233C"/>
                <w:sz w:val="18"/>
              </w:rPr>
              <w:t>Objetivo</w:t>
            </w:r>
          </w:p>
        </w:tc>
        <w:tc>
          <w:tcPr>
            <w:tcW w:type="dxa" w:w="5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7233C"/>
                <w:sz w:val="18"/>
              </w:rPr>
              <w:t>Patterns principais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41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Agentes e identidades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Strategy, Adapter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42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Recursos e ações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Composite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43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Papéis e herança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RBAC, Composite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44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Especialização individual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Policy Object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45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Serviço de autorização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Policy, cache, Mediator/Decorator gradual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46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Matriz visual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Template genérico, Composite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47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Proteção da API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Policy-based Authorization, Decorator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48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Proteção do frontend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Observer/State de sessão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49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Autenticação local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Strategy, Adapter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50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Preparação Entra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Adapter, Anti-Corruption Layer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10. Sequência recomendada de evolução</w:t>
      </w:r>
    </w:p>
    <w:p>
      <w:pPr>
        <w:pStyle w:val="ListNumber"/>
        <w:spacing w:after="80" w:line="300" w:lineRule="auto"/>
        <w:ind w:left="540" w:hanging="271"/>
      </w:pPr>
      <w:r>
        <w:t>Concluir agentes, identidades e provedores de autenticação.</w:t>
      </w:r>
    </w:p>
    <w:p>
      <w:pPr>
        <w:pStyle w:val="ListNumber"/>
        <w:spacing w:after="80" w:line="300" w:lineRule="auto"/>
        <w:ind w:left="540" w:hanging="271"/>
      </w:pPr>
      <w:r>
        <w:t>Criar o catálogo hierárquico de recursos e ações.</w:t>
      </w:r>
    </w:p>
    <w:p>
      <w:pPr>
        <w:pStyle w:val="ListNumber"/>
        <w:spacing w:after="80" w:line="300" w:lineRule="auto"/>
        <w:ind w:left="540" w:hanging="271"/>
      </w:pPr>
      <w:r>
        <w:t>Persistir papéis, herança e especializações individuais.</w:t>
      </w:r>
    </w:p>
    <w:p>
      <w:pPr>
        <w:pStyle w:val="ListNumber"/>
        <w:spacing w:after="80" w:line="300" w:lineRule="auto"/>
        <w:ind w:left="540" w:hanging="271"/>
      </w:pPr>
      <w:r>
        <w:t>Centralizar a decisão em uma Policy Object explicável.</w:t>
      </w:r>
    </w:p>
    <w:p>
      <w:pPr>
        <w:pStyle w:val="ListNumber"/>
        <w:spacing w:after="80" w:line="300" w:lineRule="auto"/>
        <w:ind w:left="540" w:hanging="271"/>
      </w:pPr>
      <w:r>
        <w:t>Aplicar autorização na API e somente depois refletir no frontend.</w:t>
      </w:r>
    </w:p>
    <w:p>
      <w:pPr>
        <w:pStyle w:val="ListNumber"/>
        <w:spacing w:after="80" w:line="300" w:lineRule="auto"/>
        <w:ind w:left="540" w:hanging="271"/>
      </w:pPr>
      <w:r>
        <w:t>Adotar Chain e Strategy quando as regras de processamento de documentos crescerem.</w:t>
      </w:r>
    </w:p>
    <w:p>
      <w:pPr>
        <w:pStyle w:val="ListNumber"/>
        <w:spacing w:after="80" w:line="300" w:lineRule="auto"/>
        <w:ind w:left="540" w:hanging="271"/>
      </w:pPr>
      <w:r>
        <w:t>Introduzir State Machine e Saga apenas após workflows e integrações distribuídas se tornarem reais.</w:t>
      </w:r>
    </w:p>
    <w:p>
      <w:pPr>
        <w:pStyle w:val="Heading1"/>
        <w:keepNext/>
      </w:pPr>
      <w:r>
        <w:t>11. Checklist para revisão de arquitetura</w:t>
      </w:r>
    </w:p>
    <w:p>
      <w:pPr>
        <w:pStyle w:val="ListBullet"/>
        <w:spacing w:after="80" w:line="300" w:lineRule="auto"/>
        <w:ind w:left="540" w:hanging="271"/>
      </w:pPr>
      <w:r>
        <w:t>O pattern resolve um problema observado ou uma implementação já planejada?</w:t>
      </w:r>
    </w:p>
    <w:p>
      <w:pPr>
        <w:pStyle w:val="ListBullet"/>
        <w:spacing w:after="80" w:line="300" w:lineRule="auto"/>
        <w:ind w:left="540" w:hanging="271"/>
      </w:pPr>
      <w:r>
        <w:t>Existe mais de uma variação real do comportamento?</w:t>
      </w:r>
    </w:p>
    <w:p>
      <w:pPr>
        <w:pStyle w:val="ListBullet"/>
        <w:spacing w:after="80" w:line="300" w:lineRule="auto"/>
        <w:ind w:left="540" w:hanging="271"/>
      </w:pPr>
      <w:r>
        <w:t>O domínio permanece independente de frameworks e provedores externos?</w:t>
      </w:r>
    </w:p>
    <w:p>
      <w:pPr>
        <w:pStyle w:val="ListBullet"/>
        <w:spacing w:after="80" w:line="300" w:lineRule="auto"/>
        <w:ind w:left="540" w:hanging="271"/>
      </w:pPr>
      <w:r>
        <w:t>A nova abstração reduz condicionais ou apenas desloca complexidade?</w:t>
      </w:r>
    </w:p>
    <w:p>
      <w:pPr>
        <w:pStyle w:val="ListBullet"/>
        <w:spacing w:after="80" w:line="300" w:lineRule="auto"/>
        <w:ind w:left="540" w:hanging="271"/>
      </w:pPr>
      <w:r>
        <w:t>A operação continua testável, transacional e auditável?</w:t>
      </w:r>
    </w:p>
    <w:p>
      <w:pPr>
        <w:pStyle w:val="ListBullet"/>
        <w:spacing w:after="80" w:line="300" w:lineRule="auto"/>
        <w:ind w:left="540" w:hanging="271"/>
      </w:pPr>
      <w:r>
        <w:t>É possível introduzir a mudança por PR sem quebrar o fluxo existente?</w:t>
      </w:r>
    </w:p>
    <w:p>
      <w:pPr>
        <w:pStyle w:val="ListBullet"/>
        <w:spacing w:after="80" w:line="300" w:lineRule="auto"/>
        <w:ind w:left="540" w:hanging="271"/>
      </w:pPr>
      <w:r>
        <w:t>A documentação informa quando o pattern deve e não deve ser usado?</w:t>
      </w:r>
    </w:p>
    <w:p>
      <w:pPr>
        <w:pStyle w:val="Heading1"/>
        <w:keepNext/>
      </w:pPr>
      <w:r>
        <w:t>12. Referências internas</w:t>
      </w:r>
    </w:p>
    <w:p>
      <w:r>
        <w:t>Este documento consolida decisões discutidas para o MainDDD e deve ser lido em conjunto com:</w:t>
      </w:r>
    </w:p>
    <w:p>
      <w:pPr>
        <w:pStyle w:val="ListBullet"/>
        <w:spacing w:after="80" w:line="300" w:lineRule="auto"/>
        <w:ind w:left="540" w:hanging="271"/>
      </w:pPr>
      <w:r>
        <w:t>docs/architecture/ddd-foundation.md</w:t>
      </w:r>
    </w:p>
    <w:p>
      <w:pPr>
        <w:pStyle w:val="ListBullet"/>
        <w:spacing w:after="80" w:line="300" w:lineRule="auto"/>
        <w:ind w:left="540" w:hanging="271"/>
      </w:pPr>
      <w:r>
        <w:t>docs/architecture/api-contracts.md</w:t>
      </w:r>
    </w:p>
    <w:p>
      <w:pPr>
        <w:pStyle w:val="ListBullet"/>
        <w:spacing w:after="80" w:line="300" w:lineRule="auto"/>
        <w:ind w:left="540" w:hanging="271"/>
      </w:pPr>
      <w:r>
        <w:t>docs/roadmap-controle-acesso.md</w:t>
      </w:r>
    </w:p>
    <w:p>
      <w:pPr>
        <w:pStyle w:val="ListBullet"/>
        <w:spacing w:after="80" w:line="300" w:lineRule="auto"/>
        <w:ind w:left="540" w:hanging="271"/>
      </w:pPr>
      <w:r>
        <w:t>docs/idempotencia-documentos.md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6273"/>
        <w:sz w:val="16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b/>
        <w:color w:val="596273"/>
        <w:sz w:val="16"/>
      </w:rPr>
      <w:t>MAIN  |  GUIA DE PATTERNS ARQUITETURAIS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7233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315FC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315FC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233C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/>
      <w:b w:val="0"/>
      <w:i/>
      <w:iCs/>
      <w:color w:val="596273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64" w:lineRule="auto"/>
      <w:ind w:left="259" w:right="259"/>
    </w:pPr>
    <w:rPr>
      <w:rFonts w:ascii="Consolas" w:hAnsi="Consolas"/>
      <w:color w:val="17233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Patterns recomendados para evolução do Main</dc:title>
  <dc:subject>Referência arquitetural e roadmap de patterns</dc:subject>
  <dc:creator>Equipe MainDDD</dc:creator>
  <cp:keywords>DDD, design patterns, arquitetura, documentos, autorização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