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Report</w:t>
      </w:r>
    </w:p>
    <w:p>
      <w:pPr>
        <w:pStyle w:val="Heading2"/>
      </w:pPr>
      <w:r>
        <w:t>Executive Summary</w:t>
      </w:r>
    </w:p>
    <w:p>
      <w:r>
        <w:t>On 18 August 2025 at approximately 14:00 UTC, the Security Operations Center (SOC) detected suspicious activity involving Server-Y within the internal network. The alert was generated by the host-based intrusion detection platform Wazuh, which identified an exploitation attempt targeting the Samba service running on the server. Further analysis indicated that the attack originated from IP address 192.168.1.101 and attempted to exploit the Samba usermap script vulnerability using the Metasploit Framework exploit module.</w:t>
        <w:br/>
        <w:br/>
        <w:t>The attack behavior aligned with Technique T1210 – Exploitation of Remote Services in the MITRE ATT&amp;CK framework. After detection, SOC analysts immediately initiated the incident response process, beginning with alert triage and verification. The affected system was isolated from the network to prevent lateral movement or further compromise. Network firewall rules were updated to block the malicious IP address, and forensic evidence including system logs and memory data was collected for investigation. At the time of analysis, no indicators suggested successful data exfiltration or compromise of sensitive information.</w:t>
      </w:r>
    </w:p>
    <w:p>
      <w:pPr>
        <w:pStyle w:val="Heading2"/>
      </w:pPr>
      <w:r>
        <w:t>Timeline of Events</w:t>
      </w:r>
    </w:p>
    <w:p>
      <w:r>
        <w:t>14:00 – Suspicious exploitation attempt detected by Wazuh</w:t>
      </w:r>
    </w:p>
    <w:p>
      <w:r>
        <w:t>14:03 – Alert triggered and logged in SOC monitoring dashboard</w:t>
      </w:r>
    </w:p>
    <w:p>
      <w:r>
        <w:t>14:05 – Tier-1 SOC analyst initiated triage and verified alert legitimacy</w:t>
      </w:r>
    </w:p>
    <w:p>
      <w:r>
        <w:t>14:10 – Incident escalated to Tier-2 analyst for further investigation</w:t>
      </w:r>
    </w:p>
    <w:p>
      <w:r>
        <w:t>14:15 – Server-Y isolated from the internal network</w:t>
      </w:r>
    </w:p>
    <w:p>
      <w:r>
        <w:t>14:20 – Malicious IP address blocked at firewall level</w:t>
      </w:r>
    </w:p>
    <w:p>
      <w:r>
        <w:t>14:30 – Forensic evidence (logs and memory dump) collected for analysis</w:t>
      </w:r>
    </w:p>
    <w:p>
      <w:pPr>
        <w:pStyle w:val="Heading2"/>
      </w:pPr>
      <w:r>
        <w:t>Recommendations</w:t>
      </w:r>
    </w:p>
    <w:p>
      <w:r>
        <w:t>To reduce the likelihood of similar incidents, the organization should implement regular vulnerability management and patching processes to ensure that known software vulnerabilities are remediated promptly. Continuous monitoring through SIEM and IDS systems should be maintained and enhanced with threat intelligence integration to detect malicious IP addresses and indicators of compromise more effectively. Additionally, implementing network segmentation and least-privilege access controls can limit attacker movement within the environment. Regular security awareness training and incident response drills should also be conducted to ensure that staff can respond efficiently to potential security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