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South Africa Peptide Demand Assessment Using Public Real-World Data</w:t>
      </w:r>
    </w:p>
    <w:p>
      <w:pPr>
        <w:pStyle w:val="Heading2"/>
        <w:pStyle w:val="MdHeading2"/>
      </w:pPr>
      <w:r>
        <w:t xml:space="preserve">Executive finding</w:t>
      </w:r>
    </w:p>
    <w:p>
      <w:pPr>
        <w:pStyle w:val="MdParagraph"/>
      </w:pPr>
      <w:r>
        <w:t xml:space="preserve">The strongest real public signal is </w:t>
      </w:r>
      <w:r>
        <w:rPr>
          <w:rStyle w:val="MdStrong"/>
          <w:b/>
          <w:bCs/>
        </w:rPr>
        <w:t xml:space="preserve">broad interest in “peptides,” not the exact phrase “peptide therapy.”</w:t>
      </w:r>
      <w:r>
        <w:t xml:space="preserve"> Google Trends shows South African interest for “peptides” rising from an average index of </w:t>
      </w:r>
      <w:r>
        <w:rPr>
          <w:rStyle w:val="MdStrong"/>
          <w:b/>
          <w:bCs/>
        </w:rPr>
        <w:t xml:space="preserve">29.5 in the first 12 weeks</w:t>
      </w:r>
      <w:r>
        <w:t xml:space="preserve"> of the observed 12-month period to </w:t>
      </w:r>
      <w:r>
        <w:rPr>
          <w:rStyle w:val="MdStrong"/>
          <w:b/>
          <w:bCs/>
        </w:rPr>
        <w:t xml:space="preserve">81.4 in the most recent 12 weeks</w:t>
      </w:r>
      <w:r>
        <w:t xml:space="preserve">, with a peak index of 100. This is a strong directional increase in attention, although Google Trends is a relative index and does not disclose monthly search volume.</w:t>
      </w:r>
    </w:p>
    <w:p>
      <w:pPr>
        <w:pStyle w:val="MdSpace"/>
        <w:spacing w:before="0" w:after="60"/>
      </w:pPr>
    </w:p>
    <w:p>
      <w:pPr>
        <w:pStyle w:val="MdParagraph"/>
      </w:pPr>
      <w:r>
        <w:t xml:space="preserve">“Semaglutide” also shows sustained, meaningful interest, with an average index of </w:t>
      </w:r>
      <w:r>
        <w:rPr>
          <w:rStyle w:val="MdStrong"/>
          <w:b/>
          <w:bCs/>
        </w:rPr>
        <w:t xml:space="preserve">64.0</w:t>
      </w:r>
      <w:r>
        <w:t xml:space="preserve"> across the observed 53 weekly points and a peak of 100. By contrast, “peptide therapy” is too sporadic in the public interface to support it as the main acquisition phrase: it showed mostly zero values, one spike to 100 on the week of 25 January 2026, and small values of 6 and 10 in late July/early August 2026.</w:t>
      </w:r>
    </w:p>
    <w:p>
      <w:pPr>
        <w:pStyle w:val="MdSpace"/>
        <w:spacing w:before="0" w:after="60"/>
      </w:pPr>
    </w:p>
    <w:p>
      <w:pPr>
        <w:pStyle w:val="MdParagraph"/>
      </w:pPr>
      <w:r>
        <w:t xml:space="preserve">The available evidence therefore supports a launch strategy built around </w:t>
      </w:r>
      <w:r>
        <w:rPr>
          <w:rStyle w:val="MdStrong"/>
          <w:b/>
          <w:bCs/>
        </w:rPr>
        <w:t xml:space="preserve">broad peptide education, provider evaluation, quality/safety information, and semaglutide-related education only where the exact offer and advertising eligibility are approved</w:t>
      </w:r>
      <w:r>
        <w:t xml:space="preserve">. It does not justify assuming a large monthly market or forecasting sales from search interest alone.</w:t>
      </w:r>
    </w:p>
    <w:p>
      <w:pPr>
        <w:pStyle w:val="MdSpace"/>
        <w:spacing w:before="0" w:after="60"/>
      </w:pPr>
    </w:p>
    <w:p>
      <w:pPr>
        <w:pStyle w:val="Heading2"/>
        <w:pStyle w:val="MdHeading2"/>
      </w:pPr>
      <w:r>
        <w:t xml:space="preserve">What was measured</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Query</w:t>
            </w:r>
          </w:p>
        </w:tc>
        <w:tc>
          <w:tcPr>
            <w:tcMar>
              <w:top w:type="dxa" w:w="100"/>
              <w:left w:type="dxa" w:w="120"/>
              <w:bottom w:type="dxa" w:w="100"/>
              <w:right w:type="dxa" w:w="120"/>
            </w:tcMar>
            <w:vAlign w:val="center"/>
          </w:tcPr>
          <w:p>
            <w:pPr>
              <w:pStyle w:val="MdTableHeader"/>
            </w:pPr>
            <w:r>
              <w:t xml:space="preserve">Geography</w:t>
            </w:r>
          </w:p>
        </w:tc>
        <w:tc>
          <w:tcPr>
            <w:tcMar>
              <w:top w:type="dxa" w:w="100"/>
              <w:left w:type="dxa" w:w="120"/>
              <w:bottom w:type="dxa" w:w="100"/>
              <w:right w:type="dxa" w:w="120"/>
            </w:tcMar>
            <w:vAlign w:val="center"/>
          </w:tcPr>
          <w:p>
            <w:pPr>
              <w:pStyle w:val="MdTableHeader"/>
            </w:pPr>
            <w:r>
              <w:t xml:space="preserve">Time window</w:t>
            </w:r>
          </w:p>
        </w:tc>
        <w:tc>
          <w:tcPr>
            <w:tcMar>
              <w:top w:type="dxa" w:w="100"/>
              <w:left w:type="dxa" w:w="120"/>
              <w:bottom w:type="dxa" w:w="100"/>
              <w:right w:type="dxa" w:w="120"/>
            </w:tcMar>
            <w:vAlign w:val="center"/>
          </w:tcPr>
          <w:p>
            <w:pPr>
              <w:pStyle w:val="MdTableHeader"/>
            </w:pPr>
            <w:r>
              <w:t xml:space="preserve">Real public signal</w:t>
            </w:r>
          </w:p>
        </w:tc>
        <w:tc>
          <w:tcPr>
            <w:tcBorders>
              <w:right w:val="none"/>
            </w:tcBorders>
            <w:tcMar>
              <w:top w:type="dxa" w:w="100"/>
              <w:left w:type="dxa" w:w="120"/>
              <w:bottom w:type="dxa" w:w="100"/>
              <w:right w:type="dxa" w:w="120"/>
            </w:tcMar>
            <w:vAlign w:val="center"/>
          </w:tcPr>
          <w:p>
            <w:pPr>
              <w:pStyle w:val="MdTableHeader"/>
            </w:pPr>
            <w:r>
              <w:t xml:space="preserve">Interpretation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peptides</w:t>
            </w:r>
          </w:p>
        </w:tc>
        <w:tc>
          <w:tcPr>
            <w:tcMar>
              <w:top w:type="dxa" w:w="80"/>
              <w:left w:type="dxa" w:w="120"/>
              <w:bottom w:type="dxa" w:w="80"/>
              <w:right w:type="dxa" w:w="120"/>
            </w:tcMar>
            <w:vAlign w:val="center"/>
          </w:tcPr>
          <w:p>
            <w:pPr>
              <w:pStyle w:val="MdTableCell"/>
            </w:pPr>
            <w:r>
              <w:t xml:space="preserve">South Africa</w:t>
            </w:r>
          </w:p>
        </w:tc>
        <w:tc>
          <w:tcPr>
            <w:tcMar>
              <w:top w:type="dxa" w:w="80"/>
              <w:left w:type="dxa" w:w="120"/>
              <w:bottom w:type="dxa" w:w="80"/>
              <w:right w:type="dxa" w:w="120"/>
            </w:tcMar>
            <w:vAlign w:val="center"/>
          </w:tcPr>
          <w:p>
            <w:pPr>
              <w:pStyle w:val="MdTableCell"/>
            </w:pPr>
            <w:r>
              <w:t xml:space="preserve">Past 12 months shown by Google Trends</w:t>
            </w:r>
          </w:p>
        </w:tc>
        <w:tc>
          <w:tcPr>
            <w:tcMar>
              <w:top w:type="dxa" w:w="80"/>
              <w:left w:type="dxa" w:w="120"/>
              <w:bottom w:type="dxa" w:w="80"/>
              <w:right w:type="dxa" w:w="120"/>
            </w:tcMar>
            <w:vAlign w:val="center"/>
          </w:tcPr>
          <w:p>
            <w:pPr>
              <w:pStyle w:val="MdTableCell"/>
            </w:pPr>
            <w:r>
              <w:t xml:space="preserve">Mean index 61.8; first 12-week mean 29.5; latest 12-week mean 81.4; peak 100</w:t>
            </w:r>
          </w:p>
        </w:tc>
        <w:tc>
          <w:tcPr>
            <w:tcBorders>
              <w:right w:val="none"/>
            </w:tcBorders>
            <w:tcMar>
              <w:top w:type="dxa" w:w="80"/>
              <w:left w:type="dxa" w:w="120"/>
              <w:bottom w:type="dxa" w:w="80"/>
              <w:right w:type="dxa" w:w="120"/>
            </w:tcMar>
            <w:vAlign w:val="center"/>
          </w:tcPr>
          <w:p>
            <w:pPr>
              <w:pStyle w:val="MdTableCell"/>
            </w:pPr>
            <w:r>
              <w:t xml:space="preserve">Strong upward attention and broad topic demand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semaglutide</w:t>
            </w:r>
          </w:p>
        </w:tc>
        <w:tc>
          <w:tcPr>
            <w:tcMar>
              <w:top w:type="dxa" w:w="80"/>
              <w:left w:type="dxa" w:w="120"/>
              <w:bottom w:type="dxa" w:w="80"/>
              <w:right w:type="dxa" w:w="120"/>
            </w:tcMar>
            <w:vAlign w:val="center"/>
          </w:tcPr>
          <w:p>
            <w:pPr>
              <w:pStyle w:val="MdTableCell"/>
            </w:pPr>
            <w:r>
              <w:t xml:space="preserve">South Africa</w:t>
            </w:r>
          </w:p>
        </w:tc>
        <w:tc>
          <w:tcPr>
            <w:tcMar>
              <w:top w:type="dxa" w:w="80"/>
              <w:left w:type="dxa" w:w="120"/>
              <w:bottom w:type="dxa" w:w="80"/>
              <w:right w:type="dxa" w:w="120"/>
            </w:tcMar>
            <w:vAlign w:val="center"/>
          </w:tcPr>
          <w:p>
            <w:pPr>
              <w:pStyle w:val="MdTableCell"/>
            </w:pPr>
            <w:r>
              <w:t xml:space="preserve">Past 12 months shown by Google Trends</w:t>
            </w:r>
          </w:p>
        </w:tc>
        <w:tc>
          <w:tcPr>
            <w:tcMar>
              <w:top w:type="dxa" w:w="80"/>
              <w:left w:type="dxa" w:w="120"/>
              <w:bottom w:type="dxa" w:w="80"/>
              <w:right w:type="dxa" w:w="120"/>
            </w:tcMar>
            <w:vAlign w:val="center"/>
          </w:tcPr>
          <w:p>
            <w:pPr>
              <w:pStyle w:val="MdTableCell"/>
            </w:pPr>
            <w:r>
              <w:t xml:space="preserve">Mean index 64.0; first 12-week mean 61.7; latest 12-week mean 61.4; peak 100</w:t>
            </w:r>
          </w:p>
        </w:tc>
        <w:tc>
          <w:tcPr>
            <w:tcBorders>
              <w:right w:val="none"/>
            </w:tcBorders>
            <w:tcMar>
              <w:top w:type="dxa" w:w="80"/>
              <w:left w:type="dxa" w:w="120"/>
              <w:bottom w:type="dxa" w:w="80"/>
              <w:right w:type="dxa" w:w="120"/>
            </w:tcMar>
            <w:vAlign w:val="center"/>
          </w:tcPr>
          <w:p>
            <w:pPr>
              <w:pStyle w:val="MdTableCell"/>
            </w:pPr>
            <w:r>
              <w:t xml:space="preserve">Sustained demand with repeated spikes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peptide therapy</w:t>
            </w:r>
          </w:p>
        </w:tc>
        <w:tc>
          <w:tcPr>
            <w:tcMar>
              <w:top w:type="dxa" w:w="80"/>
              <w:left w:type="dxa" w:w="120"/>
              <w:bottom w:type="dxa" w:w="80"/>
              <w:right w:type="dxa" w:w="120"/>
            </w:tcMar>
            <w:vAlign w:val="center"/>
          </w:tcPr>
          <w:p>
            <w:pPr>
              <w:pStyle w:val="MdTableCell"/>
            </w:pPr>
            <w:r>
              <w:t xml:space="preserve">South Africa</w:t>
            </w:r>
          </w:p>
        </w:tc>
        <w:tc>
          <w:tcPr>
            <w:tcMar>
              <w:top w:type="dxa" w:w="80"/>
              <w:left w:type="dxa" w:w="120"/>
              <w:bottom w:type="dxa" w:w="80"/>
              <w:right w:type="dxa" w:w="120"/>
            </w:tcMar>
            <w:vAlign w:val="center"/>
          </w:tcPr>
          <w:p>
            <w:pPr>
              <w:pStyle w:val="MdTableCell"/>
            </w:pPr>
            <w:r>
              <w:t xml:space="preserve">Past 12 months shown by Google Trends</w:t>
            </w:r>
          </w:p>
        </w:tc>
        <w:tc>
          <w:tcPr>
            <w:tcMar>
              <w:top w:type="dxa" w:w="80"/>
              <w:left w:type="dxa" w:w="120"/>
              <w:bottom w:type="dxa" w:w="80"/>
              <w:right w:type="dxa" w:w="120"/>
            </w:tcMar>
            <w:vAlign w:val="center"/>
          </w:tcPr>
          <w:p>
            <w:pPr>
              <w:pStyle w:val="MdTableCell"/>
            </w:pPr>
            <w:r>
              <w:t xml:space="preserve">Mostly 0; spike to 100 on 25 Jan 2026; 6 on 26 Jul; 10 on 2 Aug; 0 on 9 Aug</w:t>
            </w:r>
          </w:p>
        </w:tc>
        <w:tc>
          <w:tcPr>
            <w:tcBorders>
              <w:right w:val="none"/>
            </w:tcBorders>
            <w:tcMar>
              <w:top w:type="dxa" w:w="80"/>
              <w:left w:type="dxa" w:w="120"/>
              <w:bottom w:type="dxa" w:w="80"/>
              <w:right w:type="dxa" w:w="120"/>
            </w:tcMar>
            <w:vAlign w:val="center"/>
          </w:tcPr>
          <w:p>
            <w:pPr>
              <w:pStyle w:val="MdTableCell"/>
            </w:pPr>
            <w:r>
              <w:t xml:space="preserve">Too sparse as a standalone phrase; test through exact volume tools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tirzepatide</w:t>
            </w:r>
          </w:p>
        </w:tc>
        <w:tc>
          <w:tcPr>
            <w:tcMar>
              <w:top w:type="dxa" w:w="80"/>
              <w:left w:type="dxa" w:w="120"/>
              <w:bottom w:type="dxa" w:w="80"/>
              <w:right w:type="dxa" w:w="120"/>
            </w:tcMar>
            <w:vAlign w:val="center"/>
          </w:tcPr>
          <w:p>
            <w:pPr>
              <w:pStyle w:val="MdTableCell"/>
            </w:pPr>
            <w:r>
              <w:t xml:space="preserve">South Africa</w:t>
            </w:r>
          </w:p>
        </w:tc>
        <w:tc>
          <w:tcPr>
            <w:tcMar>
              <w:top w:type="dxa" w:w="80"/>
              <w:left w:type="dxa" w:w="120"/>
              <w:bottom w:type="dxa" w:w="80"/>
              <w:right w:type="dxa" w:w="120"/>
            </w:tcMar>
            <w:vAlign w:val="center"/>
          </w:tcPr>
          <w:p>
            <w:pPr>
              <w:pStyle w:val="MdTableCell"/>
            </w:pPr>
            <w:r>
              <w:t xml:space="preserve">Past 12 months shown by Google Trends</w:t>
            </w:r>
          </w:p>
        </w:tc>
        <w:tc>
          <w:tcPr>
            <w:tcMar>
              <w:top w:type="dxa" w:w="80"/>
              <w:left w:type="dxa" w:w="120"/>
              <w:bottom w:type="dxa" w:w="80"/>
              <w:right w:type="dxa" w:w="120"/>
            </w:tcMar>
            <w:vAlign w:val="center"/>
          </w:tcPr>
          <w:p>
            <w:pPr>
              <w:pStyle w:val="MdTableCell"/>
            </w:pPr>
            <w:r>
              <w:t xml:space="preserve">Public page returned insufficient data/error</w:t>
            </w:r>
          </w:p>
        </w:tc>
        <w:tc>
          <w:tcPr>
            <w:tcBorders>
              <w:right w:val="none"/>
            </w:tcBorders>
            <w:tcMar>
              <w:top w:type="dxa" w:w="80"/>
              <w:left w:type="dxa" w:w="120"/>
              <w:bottom w:type="dxa" w:w="80"/>
              <w:right w:type="dxa" w:w="120"/>
            </w:tcMar>
            <w:vAlign w:val="center"/>
          </w:tcPr>
          <w:p>
            <w:pPr>
              <w:pStyle w:val="MdTableCell"/>
            </w:pPr>
            <w:r>
              <w:t xml:space="preserve">Low or unconfirmed signal, not proof of zero searches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BPC 157</w:t>
            </w:r>
          </w:p>
        </w:tc>
        <w:tc>
          <w:tcPr>
            <w:tcBorders>
              <w:bottom w:val="single" w:color="E1E4E8" w:sz="4"/>
            </w:tcBorders>
            <w:tcMar>
              <w:top w:type="dxa" w:w="80"/>
              <w:left w:type="dxa" w:w="120"/>
              <w:bottom w:type="dxa" w:w="80"/>
              <w:right w:type="dxa" w:w="120"/>
            </w:tcMar>
            <w:vAlign w:val="center"/>
          </w:tcPr>
          <w:p>
            <w:pPr>
              <w:pStyle w:val="MdTableCell"/>
            </w:pPr>
            <w:r>
              <w:t xml:space="preserve">South Africa</w:t>
            </w:r>
          </w:p>
        </w:tc>
        <w:tc>
          <w:tcPr>
            <w:tcBorders>
              <w:bottom w:val="single" w:color="E1E4E8" w:sz="4"/>
            </w:tcBorders>
            <w:tcMar>
              <w:top w:type="dxa" w:w="80"/>
              <w:left w:type="dxa" w:w="120"/>
              <w:bottom w:type="dxa" w:w="80"/>
              <w:right w:type="dxa" w:w="120"/>
            </w:tcMar>
            <w:vAlign w:val="center"/>
          </w:tcPr>
          <w:p>
            <w:pPr>
              <w:pStyle w:val="MdTableCell"/>
            </w:pPr>
            <w:r>
              <w:t xml:space="preserve">Past 12 months shown by Google Trends</w:t>
            </w:r>
          </w:p>
        </w:tc>
        <w:tc>
          <w:tcPr>
            <w:tcBorders>
              <w:bottom w:val="single" w:color="E1E4E8" w:sz="4"/>
            </w:tcBorders>
            <w:tcMar>
              <w:top w:type="dxa" w:w="80"/>
              <w:left w:type="dxa" w:w="120"/>
              <w:bottom w:type="dxa" w:w="80"/>
              <w:right w:type="dxa" w:w="120"/>
            </w:tcMar>
            <w:vAlign w:val="center"/>
          </w:tcPr>
          <w:p>
            <w:pPr>
              <w:pStyle w:val="MdTableCell"/>
            </w:pPr>
            <w:r>
              <w:t xml:space="preserve">Public page returned insufficient data/error</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Low or unconfirmed signal, not proof of zero searches</w:t>
            </w:r>
          </w:p>
        </w:tc>
      </w:tr>
    </w:tbl>
    <w:p>
      <w:pPr>
        <w:pStyle w:val="MdBlockquote"/>
      </w:pPr>
      <w:r>
        <w:t xml:space="preserve">Google Trends values are normalized relative-interest indices, not counts of searches. A value of 100 represents the peak popularity for the query in the selected geography and time period; it does not mean 100 searches.</w:t>
      </w:r>
    </w:p>
    <w:p>
      <w:pPr>
        <w:pStyle w:val="MdSpace"/>
        <w:spacing w:before="0" w:after="60"/>
      </w:pPr>
    </w:p>
    <w:p>
      <w:pPr>
        <w:pStyle w:val="Heading2"/>
        <w:pStyle w:val="MdHeading2"/>
      </w:pPr>
      <w:r>
        <w:t xml:space="preserve">Trend details</w:t>
      </w:r>
    </w:p>
    <w:p>
      <w:pPr>
        <w:pStyle w:val="Heading3"/>
        <w:pStyle w:val="MdHeading3"/>
      </w:pPr>
      <w:r>
        <w:t xml:space="preserve">Broad “peptides” demand</w:t>
      </w:r>
    </w:p>
    <w:p>
      <w:pPr>
        <w:pStyle w:val="MdParagraph"/>
      </w:pPr>
      <w:r>
        <w:t xml:space="preserve">The weekly series began mostly in the mid-20s to high-40s during August–December 2025. It rose into the 60s and 70s from January 2026, reached 89–100 during late March and April, and remained mostly between 70 and 98 through July before easing to 69 and 67 in early August. This pattern indicates broad and sustained interest rather than a single isolated news spike.</w:t>
      </w:r>
    </w:p>
    <w:p>
      <w:pPr>
        <w:pStyle w:val="MdSpace"/>
        <w:spacing w:before="0" w:after="60"/>
      </w:pPr>
    </w:p>
    <w:p>
      <w:pPr>
        <w:pStyle w:val="MdParagraph"/>
      </w:pPr>
      <w:r>
        <w:t xml:space="preserve">The top indexed South African subregions were Western Cape at 100, Gauteng at 71, KwaZulu-Natal at 59, Northern Cape at 56, and Free State at 52. This supports starting geographic content and organic distribution in the Western Cape, Gauteng, and KwaZulu-Natal, subject to actual service availability.</w:t>
      </w:r>
    </w:p>
    <w:p>
      <w:pPr>
        <w:pStyle w:val="MdSpace"/>
        <w:spacing w:before="0" w:after="60"/>
      </w:pPr>
    </w:p>
    <w:p>
      <w:pPr>
        <w:pStyle w:val="MdParagraph"/>
      </w:pPr>
      <w:r>
        <w:t xml:space="preserve">Google Trends’ rising related queries for “peptides” included </w:t>
      </w:r>
      <w:r>
        <w:rPr>
          <w:rStyle w:val="MdStrong"/>
          <w:b/>
          <w:bCs/>
        </w:rPr>
        <w:t xml:space="preserve">“wolverine stack,” “biolabs peptides,” “retatrutide peptide,” “biolabs,” and “cjc 1295,” all marked Breakout</w:t>
      </w:r>
      <w:r>
        <w:t xml:space="preserve"> in the live public interface. These are demand signals for specific protocols, brands, and newer compounds, but they should not automatically become sales targets: some may involve unapproved, experimental, or policy-sensitive products.</w:t>
      </w:r>
    </w:p>
    <w:p>
      <w:pPr>
        <w:pStyle w:val="MdSpace"/>
        <w:spacing w:before="0" w:after="60"/>
      </w:pPr>
    </w:p>
    <w:p>
      <w:pPr>
        <w:pStyle w:val="Heading3"/>
        <w:pStyle w:val="MdHeading3"/>
      </w:pPr>
      <w:r>
        <w:t xml:space="preserve">Semaglutide demand</w:t>
      </w:r>
    </w:p>
    <w:p>
      <w:pPr>
        <w:pStyle w:val="MdParagraph"/>
      </w:pPr>
      <w:r>
        <w:t xml:space="preserve">The semaglutide series remained active across the whole period. It showed repeated peaks, including 82 in September 2025, 100 in November 2025, 80 in January 2026, 85 in late March, 100 in early April, and 98 in July. The top subregions were Western Cape at 100, Gauteng at 77, Mpumalanga at 69, North West at 69, and Eastern Cape at 67.</w:t>
      </w:r>
    </w:p>
    <w:p>
      <w:pPr>
        <w:pStyle w:val="MdSpace"/>
        <w:spacing w:before="0" w:after="60"/>
      </w:pPr>
    </w:p>
    <w:p>
      <w:pPr>
        <w:pStyle w:val="MdParagraph"/>
      </w:pPr>
      <w:r>
        <w:t xml:space="preserve">This is the clearest product-specific demand signal found in the public research. However, the signal reflects public interest and does not establish lawful commercial eligibility, product availability, prescription status, or customer willingness to pay. SAHPRA has warned about unauthorised online GLP-1 sales and false approval or affiliation claims, so semaglutide demand should be approached through a medically reviewed, compliant information or consultation model rather than a direct “buy online” funnel </w:t>
      </w:r>
      <w:hyperlink w:history="1" r:id="rIdtwgku_pd55dahw5y0mxca">
        <w:r>
          <w:rPr>
            <w:rStyle w:val="MdLink"/>
          </w:rPr>
          <w:t xml:space="preserve">1</w:t>
        </w:r>
      </w:hyperlink>
      <w:r>
        <w:t xml:space="preserve">.</w:t>
      </w:r>
    </w:p>
    <w:p>
      <w:pPr>
        <w:pStyle w:val="MdSpace"/>
        <w:spacing w:before="0" w:after="60"/>
      </w:pPr>
    </w:p>
    <w:p>
      <w:pPr>
        <w:pStyle w:val="Heading3"/>
        <w:pStyle w:val="MdHeading3"/>
      </w:pPr>
      <w:r>
        <w:t xml:space="preserve">Exact “peptide therapy” demand</w:t>
      </w:r>
    </w:p>
    <w:p>
      <w:pPr>
        <w:pStyle w:val="MdParagraph"/>
      </w:pPr>
      <w:r>
        <w:t xml:space="preserve">The exact phrase is much weaker. The public series was zero for almost every week, with one spike to 100 on 25 January 2026 and small values of 6 and 10 in late July and early August. The subregion ranking still showed Western Cape at 100, Gauteng at 90, and KwaZulu-Natal at 50, but the low overall volume means the phrase should not be the only SEO or paid-search target.</w:t>
      </w:r>
    </w:p>
    <w:p>
      <w:pPr>
        <w:pStyle w:val="MdSpace"/>
        <w:spacing w:before="0" w:after="60"/>
      </w:pPr>
    </w:p>
    <w:p>
      <w:pPr>
        <w:pStyle w:val="MdParagraph"/>
      </w:pPr>
      <w:r>
        <w:t xml:space="preserve">The strategic implication is to use “peptide therapy” as a </w:t>
      </w:r>
      <w:r>
        <w:rPr>
          <w:rStyle w:val="MdStrong"/>
          <w:b/>
          <w:bCs/>
        </w:rPr>
        <w:t xml:space="preserve">brand/service page phrase</w:t>
      </w:r>
      <w:r>
        <w:t xml:space="preserve">, while capturing demand through broader educational and commercial language such as “peptides South Africa,” “peptide clinic,” “peptide consultation,” “research peptides,” “peptide supplier,” and product-specific terms that are legally and operationally permitted.</w:t>
      </w:r>
    </w:p>
    <w:p>
      <w:pPr>
        <w:pStyle w:val="MdSpace"/>
        <w:spacing w:before="0" w:after="60"/>
      </w:pPr>
    </w:p>
    <w:p>
      <w:pPr>
        <w:pStyle w:val="Heading2"/>
        <w:pStyle w:val="MdHeading2"/>
      </w:pPr>
      <w:r>
        <w:t xml:space="preserve">Market and competitor evidence</w:t>
      </w:r>
    </w:p>
    <w:p>
      <w:pPr>
        <w:pStyle w:val="MdParagraph"/>
      </w:pPr>
      <w:r>
        <w:t xml:space="preserve">Public South African competitor pages show that the market is already separating into distinct propositions: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Proposition</w:t>
            </w:r>
          </w:p>
        </w:tc>
        <w:tc>
          <w:tcPr>
            <w:tcMar>
              <w:top w:type="dxa" w:w="100"/>
              <w:left w:type="dxa" w:w="120"/>
              <w:bottom w:type="dxa" w:w="100"/>
              <w:right w:type="dxa" w:w="120"/>
            </w:tcMar>
            <w:vAlign w:val="center"/>
          </w:tcPr>
          <w:p>
            <w:pPr>
              <w:pStyle w:val="MdTableHeader"/>
            </w:pPr>
            <w:r>
              <w:t xml:space="preserve">Public evidence</w:t>
            </w:r>
          </w:p>
        </w:tc>
        <w:tc>
          <w:tcPr>
            <w:tcBorders>
              <w:right w:val="none"/>
            </w:tcBorders>
            <w:tcMar>
              <w:top w:type="dxa" w:w="100"/>
              <w:left w:type="dxa" w:w="120"/>
              <w:bottom w:type="dxa" w:w="100"/>
              <w:right w:type="dxa" w:w="120"/>
            </w:tcMar>
            <w:vAlign w:val="center"/>
          </w:tcPr>
          <w:p>
            <w:pPr>
              <w:pStyle w:val="MdTableHeader"/>
            </w:pPr>
            <w:r>
              <w:t xml:space="preserve">Strategic implication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Clinician-led peptide therapy</w:t>
            </w:r>
          </w:p>
        </w:tc>
        <w:tc>
          <w:tcPr>
            <w:tcMar>
              <w:top w:type="dxa" w:w="80"/>
              <w:left w:type="dxa" w:w="120"/>
              <w:bottom w:type="dxa" w:w="80"/>
              <w:right w:type="dxa" w:w="120"/>
            </w:tcMar>
            <w:vAlign w:val="center"/>
          </w:tcPr>
          <w:p>
            <w:pPr>
              <w:pStyle w:val="MdTableCell"/>
            </w:pPr>
            <w:r>
              <w:t xml:space="preserve">AlphaHuman describes doctor-prescribed, custom-formulated protocols and consultation-led access </w:t>
            </w:r>
            <w:hyperlink w:history="1" r:id="rIdghbaggpevloh3kh6rmpdv">
              <w:r>
                <w:rPr>
                  <w:rStyle w:val="MdLink"/>
                </w:rPr>
                <w:t xml:space="preserve">2</w:t>
              </w:r>
            </w:hyperlink>
          </w:p>
        </w:tc>
        <w:tc>
          <w:tcPr>
            <w:tcBorders>
              <w:right w:val="none"/>
            </w:tcBorders>
            <w:tcMar>
              <w:top w:type="dxa" w:w="80"/>
              <w:left w:type="dxa" w:w="120"/>
              <w:bottom w:type="dxa" w:w="80"/>
              <w:right w:type="dxa" w:w="120"/>
            </w:tcMar>
            <w:vAlign w:val="center"/>
          </w:tcPr>
          <w:p>
            <w:pPr>
              <w:pStyle w:val="MdTableCell"/>
            </w:pPr>
            <w:r>
              <w:t xml:space="preserve">Trust, consultation, and medical process are central positioning assets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Medical/wellness clinic</w:t>
            </w:r>
          </w:p>
        </w:tc>
        <w:tc>
          <w:tcPr>
            <w:tcMar>
              <w:top w:type="dxa" w:w="80"/>
              <w:left w:type="dxa" w:w="120"/>
              <w:bottom w:type="dxa" w:w="80"/>
              <w:right w:type="dxa" w:w="120"/>
            </w:tcMar>
            <w:vAlign w:val="center"/>
          </w:tcPr>
          <w:p>
            <w:pPr>
              <w:pStyle w:val="MdTableCell"/>
            </w:pPr>
            <w:r>
              <w:t xml:space="preserve">PremierBODY presents physician-reviewed protocols and a broad therapy menu </w:t>
            </w:r>
            <w:hyperlink w:history="1" r:id="rId-sxabbozct9wsp04itdo_">
              <w:r>
                <w:rPr>
                  <w:rStyle w:val="MdLink"/>
                </w:rPr>
                <w:t xml:space="preserve">3</w:t>
              </w:r>
            </w:hyperlink>
          </w:p>
        </w:tc>
        <w:tc>
          <w:tcPr>
            <w:tcBorders>
              <w:right w:val="none"/>
            </w:tcBorders>
            <w:tcMar>
              <w:top w:type="dxa" w:w="80"/>
              <w:left w:type="dxa" w:w="120"/>
              <w:bottom w:type="dxa" w:w="80"/>
              <w:right w:type="dxa" w:w="120"/>
            </w:tcMar>
            <w:vAlign w:val="center"/>
          </w:tcPr>
          <w:p>
            <w:pPr>
              <w:pStyle w:val="MdTableCell"/>
            </w:pPr>
            <w:r>
              <w:t xml:space="preserve">There is competition for clinic and treatment-intent terms; differentiation needs credentials and clarity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Research supply</w:t>
            </w:r>
          </w:p>
        </w:tc>
        <w:tc>
          <w:tcPr>
            <w:tcMar>
              <w:top w:type="dxa" w:w="80"/>
              <w:left w:type="dxa" w:w="120"/>
              <w:bottom w:type="dxa" w:w="80"/>
              <w:right w:type="dxa" w:w="120"/>
            </w:tcMar>
            <w:vAlign w:val="center"/>
          </w:tcPr>
          <w:p>
            <w:pPr>
              <w:pStyle w:val="MdTableCell"/>
            </w:pPr>
            <w:r>
              <w:t xml:space="preserve">ReGen-X presents laboratory-grade compounds, research categories, South African delivery, and research-use-only language </w:t>
            </w:r>
            <w:hyperlink w:history="1" r:id="rIdzmpvv1my6l7lk9qus2qnk">
              <w:r>
                <w:rPr>
                  <w:rStyle w:val="MdLink"/>
                </w:rPr>
                <w:t xml:space="preserve">4</w:t>
              </w:r>
            </w:hyperlink>
          </w:p>
        </w:tc>
        <w:tc>
          <w:tcPr>
            <w:tcBorders>
              <w:right w:val="none"/>
            </w:tcBorders>
            <w:tcMar>
              <w:top w:type="dxa" w:w="80"/>
              <w:left w:type="dxa" w:w="120"/>
              <w:bottom w:type="dxa" w:w="80"/>
              <w:right w:type="dxa" w:w="120"/>
            </w:tcMar>
            <w:vAlign w:val="center"/>
          </w:tcPr>
          <w:p>
            <w:pPr>
              <w:pStyle w:val="MdTableCell"/>
            </w:pPr>
            <w:r>
              <w:t xml:space="preserve">Research supply is a separate funnel and must not be mixed with human-treatment claims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Beauty/supplement retail</w:t>
            </w:r>
          </w:p>
        </w:tc>
        <w:tc>
          <w:tcPr>
            <w:tcBorders>
              <w:bottom w:val="single" w:color="E1E4E8" w:sz="4"/>
            </w:tcBorders>
            <w:tcMar>
              <w:top w:type="dxa" w:w="80"/>
              <w:left w:type="dxa" w:w="120"/>
              <w:bottom w:type="dxa" w:w="80"/>
              <w:right w:type="dxa" w:w="120"/>
            </w:tcMar>
            <w:vAlign w:val="center"/>
          </w:tcPr>
          <w:p>
            <w:pPr>
              <w:pStyle w:val="MdTableCell"/>
            </w:pPr>
            <w:r>
              <w:t xml:space="preserve">South African retailers capture collagen and cosmetic-peptide interest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Cosmetic or food-derived peptide pages may offer a lower-risk adjacent category, but claims must remain appropriate to the product</w:t>
            </w:r>
          </w:p>
        </w:tc>
      </w:tr>
    </w:tbl>
    <w:p>
      <w:pPr>
        <w:pStyle w:val="MdParagraph"/>
      </w:pPr>
      <w:r>
        <w:t xml:space="preserve">These pages confirm commercial activity and positioning, but they do </w:t>
      </w:r>
      <w:r>
        <w:rPr>
          <w:rStyle w:val="MdStrong"/>
          <w:b/>
          <w:bCs/>
        </w:rPr>
        <w:t xml:space="preserve">not</w:t>
      </w:r>
      <w:r>
        <w:t xml:space="preserve"> provide verified search volumes, conversion rates, revenue, or market share.</w:t>
      </w:r>
    </w:p>
    <w:p>
      <w:pPr>
        <w:pStyle w:val="MdSpace"/>
        <w:spacing w:before="0" w:after="60"/>
      </w:pPr>
    </w:p>
    <w:p>
      <w:pPr>
        <w:pStyle w:val="Heading2"/>
        <w:pStyle w:val="MdHeading2"/>
      </w:pPr>
      <w:r>
        <w:t xml:space="preserve">What the data supports targeting first</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right"/>
            </w:pPr>
            <w:r>
              <w:t xml:space="preserve">Priority</w:t>
            </w:r>
          </w:p>
        </w:tc>
        <w:tc>
          <w:tcPr>
            <w:tcMar>
              <w:top w:type="dxa" w:w="100"/>
              <w:left w:type="dxa" w:w="120"/>
              <w:bottom w:type="dxa" w:w="100"/>
              <w:right w:type="dxa" w:w="120"/>
            </w:tcMar>
            <w:vAlign w:val="center"/>
          </w:tcPr>
          <w:p>
            <w:pPr>
              <w:pStyle w:val="MdTableHeader"/>
            </w:pPr>
            <w:r>
              <w:t xml:space="preserve">Demand cluster</w:t>
            </w:r>
          </w:p>
        </w:tc>
        <w:tc>
          <w:tcPr>
            <w:tcMar>
              <w:top w:type="dxa" w:w="100"/>
              <w:left w:type="dxa" w:w="120"/>
              <w:bottom w:type="dxa" w:w="100"/>
              <w:right w:type="dxa" w:w="120"/>
            </w:tcMar>
            <w:vAlign w:val="center"/>
          </w:tcPr>
          <w:p>
            <w:pPr>
              <w:pStyle w:val="MdTableHeader"/>
            </w:pPr>
            <w:r>
              <w:t xml:space="preserve">Evidence level</w:t>
            </w:r>
          </w:p>
        </w:tc>
        <w:tc>
          <w:tcPr>
            <w:tcBorders>
              <w:right w:val="none"/>
            </w:tcBorders>
            <w:tcMar>
              <w:top w:type="dxa" w:w="100"/>
              <w:left w:type="dxa" w:w="120"/>
              <w:bottom w:type="dxa" w:w="100"/>
              <w:right w:type="dxa" w:w="120"/>
            </w:tcMar>
            <w:vAlign w:val="center"/>
          </w:tcPr>
          <w:p>
            <w:pPr>
              <w:pStyle w:val="MdTableHeader"/>
            </w:pPr>
            <w:r>
              <w:t xml:space="preserve">Initial action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w:t>
            </w:r>
          </w:p>
        </w:tc>
        <w:tc>
          <w:tcPr>
            <w:tcMar>
              <w:top w:type="dxa" w:w="80"/>
              <w:left w:type="dxa" w:w="120"/>
              <w:bottom w:type="dxa" w:w="80"/>
              <w:right w:type="dxa" w:w="120"/>
            </w:tcMar>
            <w:vAlign w:val="center"/>
          </w:tcPr>
          <w:p>
            <w:pPr>
              <w:pStyle w:val="MdTableCell"/>
            </w:pPr>
            <w:r>
              <w:t xml:space="preserve">Broad peptides education and provider evaluation</w:t>
            </w:r>
          </w:p>
        </w:tc>
        <w:tc>
          <w:tcPr>
            <w:tcMar>
              <w:top w:type="dxa" w:w="80"/>
              <w:left w:type="dxa" w:w="120"/>
              <w:bottom w:type="dxa" w:w="80"/>
              <w:right w:type="dxa" w:w="120"/>
            </w:tcMar>
            <w:vAlign w:val="center"/>
          </w:tcPr>
          <w:p>
            <w:pPr>
              <w:pStyle w:val="MdTableCell"/>
            </w:pPr>
            <w:r>
              <w:t xml:space="preserve">Strongest trend growth</w:t>
            </w:r>
          </w:p>
        </w:tc>
        <w:tc>
          <w:tcPr>
            <w:tcBorders>
              <w:right w:val="none"/>
            </w:tcBorders>
            <w:tcMar>
              <w:top w:type="dxa" w:w="80"/>
              <w:left w:type="dxa" w:w="120"/>
              <w:bottom w:type="dxa" w:w="80"/>
              <w:right w:type="dxa" w:w="120"/>
            </w:tcMar>
            <w:vAlign w:val="center"/>
          </w:tcPr>
          <w:p>
            <w:pPr>
              <w:pStyle w:val="MdTableCell"/>
            </w:pPr>
            <w:r>
              <w:t xml:space="preserve">Build the main hub, safety guide, provider-selection guide, and quality/process content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pPr>
            <w:r>
              <w:t xml:space="preserve">Semaglutide information and consultation</w:t>
            </w:r>
          </w:p>
        </w:tc>
        <w:tc>
          <w:tcPr>
            <w:tcMar>
              <w:top w:type="dxa" w:w="80"/>
              <w:left w:type="dxa" w:w="120"/>
              <w:bottom w:type="dxa" w:w="80"/>
              <w:right w:type="dxa" w:w="120"/>
            </w:tcMar>
            <w:vAlign w:val="center"/>
          </w:tcPr>
          <w:p>
            <w:pPr>
              <w:pStyle w:val="MdTableCell"/>
            </w:pPr>
            <w:r>
              <w:t xml:space="preserve">Strong sustained trend signal</w:t>
            </w:r>
          </w:p>
        </w:tc>
        <w:tc>
          <w:tcPr>
            <w:tcBorders>
              <w:right w:val="none"/>
            </w:tcBorders>
            <w:tcMar>
              <w:top w:type="dxa" w:w="80"/>
              <w:left w:type="dxa" w:w="120"/>
              <w:bottom w:type="dxa" w:w="80"/>
              <w:right w:type="dxa" w:w="120"/>
            </w:tcMar>
            <w:vAlign w:val="center"/>
          </w:tcPr>
          <w:p>
            <w:pPr>
              <w:pStyle w:val="MdTableCell"/>
            </w:pPr>
            <w:r>
              <w:t xml:space="preserve">Build a medically reviewed information/consultation pathway only if lawful and approved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3</w:t>
            </w:r>
          </w:p>
        </w:tc>
        <w:tc>
          <w:tcPr>
            <w:tcMar>
              <w:top w:type="dxa" w:w="80"/>
              <w:left w:type="dxa" w:w="120"/>
              <w:bottom w:type="dxa" w:w="80"/>
              <w:right w:type="dxa" w:w="120"/>
            </w:tcMar>
            <w:vAlign w:val="center"/>
          </w:tcPr>
          <w:p>
            <w:pPr>
              <w:pStyle w:val="MdTableCell"/>
            </w:pPr>
            <w:r>
              <w:t xml:space="preserve">Specific compound curiosity: CJC-1295, retatrutide, “wolverine stack”</w:t>
            </w:r>
          </w:p>
        </w:tc>
        <w:tc>
          <w:tcPr>
            <w:tcMar>
              <w:top w:type="dxa" w:w="80"/>
              <w:left w:type="dxa" w:w="120"/>
              <w:bottom w:type="dxa" w:w="80"/>
              <w:right w:type="dxa" w:w="120"/>
            </w:tcMar>
            <w:vAlign w:val="center"/>
          </w:tcPr>
          <w:p>
            <w:pPr>
              <w:pStyle w:val="MdTableCell"/>
            </w:pPr>
            <w:r>
              <w:t xml:space="preserve">Breakout related-query signal</w:t>
            </w:r>
          </w:p>
        </w:tc>
        <w:tc>
          <w:tcPr>
            <w:tcBorders>
              <w:right w:val="none"/>
            </w:tcBorders>
            <w:tcMar>
              <w:top w:type="dxa" w:w="80"/>
              <w:left w:type="dxa" w:w="120"/>
              <w:bottom w:type="dxa" w:w="80"/>
              <w:right w:type="dxa" w:w="120"/>
            </w:tcMar>
            <w:vAlign w:val="center"/>
          </w:tcPr>
          <w:p>
            <w:pPr>
              <w:pStyle w:val="MdTableCell"/>
            </w:pPr>
            <w:r>
              <w:t xml:space="preserve">Use for monitoring and educational content; do not assume direct sales eligibility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pPr>
            <w:r>
              <w:t xml:space="preserve">Local demand in Western Cape and Gauteng</w:t>
            </w:r>
          </w:p>
        </w:tc>
        <w:tc>
          <w:tcPr>
            <w:tcMar>
              <w:top w:type="dxa" w:w="80"/>
              <w:left w:type="dxa" w:w="120"/>
              <w:bottom w:type="dxa" w:w="80"/>
              <w:right w:type="dxa" w:w="120"/>
            </w:tcMar>
            <w:vAlign w:val="center"/>
          </w:tcPr>
          <w:p>
            <w:pPr>
              <w:pStyle w:val="MdTableCell"/>
            </w:pPr>
            <w:r>
              <w:t xml:space="preserve">Repeated top subregion signals</w:t>
            </w:r>
          </w:p>
        </w:tc>
        <w:tc>
          <w:tcPr>
            <w:tcBorders>
              <w:right w:val="none"/>
            </w:tcBorders>
            <w:tcMar>
              <w:top w:type="dxa" w:w="80"/>
              <w:left w:type="dxa" w:w="120"/>
              <w:bottom w:type="dxa" w:w="80"/>
              <w:right w:type="dxa" w:w="120"/>
            </w:tcMar>
            <w:vAlign w:val="center"/>
          </w:tcPr>
          <w:p>
            <w:pPr>
              <w:pStyle w:val="MdTableCell"/>
            </w:pPr>
            <w:r>
              <w:t xml:space="preserve">Prioritize genuine local service or delivery pages for Cape Town and Gauteng locations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pPr>
            <w:r>
              <w:t xml:space="preserve">“Peptide therapy” exact phrase</w:t>
            </w:r>
          </w:p>
        </w:tc>
        <w:tc>
          <w:tcPr>
            <w:tcMar>
              <w:top w:type="dxa" w:w="80"/>
              <w:left w:type="dxa" w:w="120"/>
              <w:bottom w:type="dxa" w:w="80"/>
              <w:right w:type="dxa" w:w="120"/>
            </w:tcMar>
            <w:vAlign w:val="center"/>
          </w:tcPr>
          <w:p>
            <w:pPr>
              <w:pStyle w:val="MdTableCell"/>
            </w:pPr>
            <w:r>
              <w:t xml:space="preserve">Weak/sporadic signal</w:t>
            </w:r>
          </w:p>
        </w:tc>
        <w:tc>
          <w:tcPr>
            <w:tcBorders>
              <w:right w:val="none"/>
            </w:tcBorders>
            <w:tcMar>
              <w:top w:type="dxa" w:w="80"/>
              <w:left w:type="dxa" w:w="120"/>
              <w:bottom w:type="dxa" w:w="80"/>
              <w:right w:type="dxa" w:w="120"/>
            </w:tcMar>
            <w:vAlign w:val="center"/>
          </w:tcPr>
          <w:p>
            <w:pPr>
              <w:pStyle w:val="MdTableCell"/>
            </w:pPr>
            <w:r>
              <w:t xml:space="preserve">Use as a service-page phrase, not as the sole paid acquisition keyword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right"/>
            </w:pPr>
            <w:r>
              <w:t xml:space="preserve">6</w:t>
            </w:r>
          </w:p>
        </w:tc>
        <w:tc>
          <w:tcPr>
            <w:tcBorders>
              <w:bottom w:val="single" w:color="E1E4E8" w:sz="4"/>
            </w:tcBorders>
            <w:tcMar>
              <w:top w:type="dxa" w:w="80"/>
              <w:left w:type="dxa" w:w="120"/>
              <w:bottom w:type="dxa" w:w="80"/>
              <w:right w:type="dxa" w:w="120"/>
            </w:tcMar>
            <w:vAlign w:val="center"/>
          </w:tcPr>
          <w:p>
            <w:pPr>
              <w:pStyle w:val="MdTableCell"/>
            </w:pPr>
            <w:r>
              <w:t xml:space="preserve">Tirzepatide and BPC-157</w:t>
            </w:r>
          </w:p>
        </w:tc>
        <w:tc>
          <w:tcPr>
            <w:tcBorders>
              <w:bottom w:val="single" w:color="E1E4E8" w:sz="4"/>
            </w:tcBorders>
            <w:tcMar>
              <w:top w:type="dxa" w:w="80"/>
              <w:left w:type="dxa" w:w="120"/>
              <w:bottom w:type="dxa" w:w="80"/>
              <w:right w:type="dxa" w:w="120"/>
            </w:tcMar>
            <w:vAlign w:val="center"/>
          </w:tcPr>
          <w:p>
            <w:pPr>
              <w:pStyle w:val="MdTableCell"/>
            </w:pPr>
            <w:r>
              <w:t xml:space="preserve">Unconfirmed in public Trends interface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Validate through Keyword Planner or paid SEO data before investing materially</w:t>
            </w:r>
          </w:p>
        </w:tc>
      </w:tr>
    </w:tbl>
    <w:p>
      <w:pPr>
        <w:pStyle w:val="Heading2"/>
        <w:pStyle w:val="MdHeading2"/>
      </w:pPr>
      <w:r>
        <w:t xml:space="preserve">What is still missing</w:t>
      </w:r>
    </w:p>
    <w:p>
      <w:pPr>
        <w:pStyle w:val="MdParagraph"/>
      </w:pPr>
      <w:r>
        <w:t xml:space="preserve">The research does </w:t>
      </w:r>
      <w:r>
        <w:rPr>
          <w:rStyle w:val="MdStrong"/>
          <w:b/>
          <w:bCs/>
        </w:rPr>
        <w:t xml:space="preserve">not yet have real monthly search counts, CPC, keyword competition, impression forecasts, or conversion data</w:t>
      </w:r>
      <w:r>
        <w:t xml:space="preserve">. Google Trends cannot provide these figures. The public pytrends endpoint was rate-limited by Google, so it did not produce a complete API export. The browser-based Google Trends interface did provide live public trend series for the terms above.</w:t>
      </w:r>
    </w:p>
    <w:p>
      <w:pPr>
        <w:pStyle w:val="MdSpace"/>
        <w:spacing w:before="0" w:after="60"/>
      </w:pPr>
    </w:p>
    <w:p>
      <w:pPr>
        <w:pStyle w:val="MdParagraph"/>
      </w:pPr>
      <w:r>
        <w:t xml:space="preserve">Exact demand validation requires one of the following:</w:t>
      </w:r>
    </w:p>
    <w:p>
      <w:pPr>
        <w:pStyle w:val="MdSpace"/>
        <w:spacing w:before="0" w:after="60"/>
      </w:pPr>
    </w:p>
    <w:p>
      <w:pPr>
        <w:pStyle w:val="MdListItem"/>
        <w:numPr>
          <w:ilvl w:val="0"/>
          <w:numId w:val="2"/>
        </w:numPr>
      </w:pPr>
      <w:r>
        <w:rPr>
          <w:rStyle w:val="MdStrong"/>
          <w:b/>
          <w:bCs/>
        </w:rPr>
        <w:t xml:space="preserve">Google Keyword Planner:</w:t>
      </w:r>
      <w:r>
        <w:t xml:space="preserve"> create or access a Google Ads account, set location to South Africa, set language to English, upload the 300 seed terms, and export average monthly searches, three-month change, year-on-year change, competition, and top-of-page bid ranges.</w:t>
      </w:r>
    </w:p>
    <w:p>
      <w:pPr>
        <w:pStyle w:val="MdListItem"/>
        <w:numPr>
          <w:ilvl w:val="0"/>
          <w:numId w:val="2"/>
        </w:numPr>
      </w:pPr>
      <w:r>
        <w:rPr>
          <w:rStyle w:val="MdStrong"/>
          <w:b/>
          <w:bCs/>
        </w:rPr>
        <w:t xml:space="preserve">Google Ads forecast:</w:t>
      </w:r>
      <w:r>
        <w:t xml:space="preserve"> use only after the business model and healthcare advertising eligibility are confirmed; export impressions, clicks, and forecast cost for the approved campaign.</w:t>
      </w:r>
    </w:p>
    <w:p>
      <w:pPr>
        <w:pStyle w:val="MdListItem"/>
        <w:numPr>
          <w:ilvl w:val="0"/>
          <w:numId w:val="2"/>
        </w:numPr>
      </w:pPr>
      <w:r>
        <w:rPr>
          <w:rStyle w:val="MdStrong"/>
          <w:b/>
          <w:bCs/>
        </w:rPr>
        <w:t xml:space="preserve">Google Search Console:</w:t>
      </w:r>
      <w:r>
        <w:t xml:space="preserve"> after launch, collect actual impressions, clicks, queries, average position, and country data for the site.</w:t>
      </w:r>
    </w:p>
    <w:p>
      <w:pPr>
        <w:pStyle w:val="MdListItem"/>
        <w:numPr>
          <w:ilvl w:val="0"/>
          <w:numId w:val="2"/>
        </w:numPr>
      </w:pPr>
      <w:r>
        <w:rPr>
          <w:rStyle w:val="MdStrong"/>
          <w:b/>
          <w:bCs/>
        </w:rPr>
        <w:t xml:space="preserve">Paid SEO platform:</w:t>
      </w:r>
      <w:r>
        <w:t xml:space="preserve"> connect Ahrefs, Semrush, DataForSEO, or Similarweb if exact keyword-volume and competitor data is required.</w:t>
      </w:r>
    </w:p>
    <w:p>
      <w:pPr>
        <w:pStyle w:val="MdSpace"/>
        <w:spacing w:before="0" w:after="60"/>
      </w:pPr>
    </w:p>
    <w:p>
      <w:pPr>
        <w:pStyle w:val="Heading2"/>
        <w:pStyle w:val="MdHeading2"/>
      </w:pPr>
      <w:r>
        <w:t xml:space="preserve">Recommended immediate research sequence</w:t>
      </w:r>
    </w:p>
    <w:p>
      <w:pPr>
        <w:pStyle w:val="MdParagraph"/>
      </w:pPr>
      <w:r>
        <w:t xml:space="preserve">For the next validation step, do not upload all 300 keywords at once. Start with a 40-term validation set divided into four groups: 10 broad peptide terms, 10 consultation/provider terms, 10 semaglutide/GLP-1 terms, and 10 research-supply or quality terms. This will quickly reveal whether the opportunity is concentrated in medical consultation, research supply, education, or general curiosity.</w:t>
      </w:r>
    </w:p>
    <w:p>
      <w:pPr>
        <w:pStyle w:val="MdSpace"/>
        <w:spacing w:before="0" w:after="60"/>
      </w:pPr>
    </w:p>
    <w:p>
      <w:pPr>
        <w:pStyle w:val="MdParagraph"/>
      </w:pPr>
      <w:r>
        <w:t xml:space="preserve">Use the results to revise the paid plan. If exact commercial terms show low volume but education terms show demand, build an organic education funnel and use paid search only for the strongest approved consultation terms. If semaglutide terms dominate, treat that as a compliance and approval issue before treating it as a sales opportunity. If research-supply terms dominate, build a separate research catalogue and quality-documentation architecture.</w:t>
      </w:r>
    </w:p>
    <w:p>
      <w:pPr>
        <w:pStyle w:val="MdSpace"/>
        <w:spacing w:before="0" w:after="60"/>
      </w:pPr>
    </w:p>
    <w:p>
      <w:pPr>
        <w:pStyle w:val="Heading2"/>
        <w:pStyle w:val="MdHeading2"/>
      </w:pPr>
      <w:r>
        <w:t xml:space="preserve">Conclusion</w:t>
      </w:r>
    </w:p>
    <w:p>
      <w:pPr>
        <w:pStyle w:val="MdParagraph"/>
      </w:pPr>
      <w:r>
        <w:t xml:space="preserve">Real public data supports </w:t>
      </w:r>
      <w:r>
        <w:rPr>
          <w:rStyle w:val="MdStrong"/>
          <w:b/>
          <w:bCs/>
        </w:rPr>
        <w:t xml:space="preserve">genuine and rising South African attention to the broad peptide topic</w:t>
      </w:r>
      <w:r>
        <w:t xml:space="preserve">, plus a strong and sustained semaglutide signal. It does not support the earlier modeled claim of a specific total monthly addressable search volume. The next investment should therefore be in </w:t>
      </w:r>
      <w:r>
        <w:rPr>
          <w:rStyle w:val="MdStrong"/>
          <w:b/>
          <w:bCs/>
        </w:rPr>
        <w:t xml:space="preserve">exact-volume validation and a small controlled test</w:t>
      </w:r>
      <w:r>
        <w:t xml:space="preserve">, not a broad multi-channel spend.</w:t>
      </w:r>
    </w:p>
    <w:p>
      <w:pPr>
        <w:pStyle w:val="MdSpace"/>
        <w:spacing w:before="0" w:after="60"/>
      </w:pPr>
    </w:p>
    <w:p>
      <w:pPr>
        <w:pStyle w:val="MdParagraph"/>
      </w:pPr>
      <w:r>
        <w:t xml:space="preserve">The most defensible first-market thesis is:</w:t>
      </w:r>
    </w:p>
    <w:p>
      <w:pPr>
        <w:pStyle w:val="MdSpace"/>
        <w:spacing w:before="0" w:after="60"/>
      </w:pPr>
    </w:p>
    <w:p>
      <w:pPr>
        <w:pStyle w:val="MdBlockquote"/>
      </w:pPr>
      <w:r>
        <w:t xml:space="preserve">South Africa has increasing public interest in peptides, with particularly strong signals around broad peptide terminology and semaglutide. The commercial opportunity is plausible but not yet quantified. Start with education, provider evaluation, and approved consultation pathways; validate exact keyword volume before scaling paid acquisition.</w:t>
      </w:r>
    </w:p>
    <w:p>
      <w:pPr>
        <w:pStyle w:val="MdSpace"/>
        <w:spacing w:before="0" w:after="60"/>
      </w:pPr>
    </w:p>
    <w:p>
      <w:pPr>
        <w:pStyle w:val="Heading2"/>
        <w:pStyle w:val="MdHeading2"/>
      </w:pPr>
      <w:r>
        <w:t xml:space="preserve">References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twgku_pd55dahw5y0mxca" Type="http://schemas.openxmlformats.org/officeDocument/2006/relationships/hyperlink" Target="https://www.sahpra.org.za/sahpra-warns-the-public-about-glp-1-products-sold-through-social-media-platforms/" TargetMode="External"/><Relationship Id="rIdghbaggpevloh3kh6rmpdv" Type="http://schemas.openxmlformats.org/officeDocument/2006/relationships/hyperlink" Target="https://alphahuman.co.za/pages/peptides" TargetMode="External"/><Relationship Id="rId-sxabbozct9wsp04itdo_" Type="http://schemas.openxmlformats.org/officeDocument/2006/relationships/hyperlink" Target="https://premierbody.co.za/peptides-therapy/" TargetMode="External"/><Relationship Id="rIdzmpvv1my6l7lk9qus2qnk" Type="http://schemas.openxmlformats.org/officeDocument/2006/relationships/hyperlink" Target="https://www.regenx.co.za/shop/"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2026-08-20T14:40:40.725Z</dcterms:created>
  <dcterms:modified xsi:type="dcterms:W3CDTF">2026-08-20T14:40:40.725Z</dcterms:modified>
</cp:coreProperties>
</file>

<file path=docProps/custom.xml><?xml version="1.0" encoding="utf-8"?>
<Properties xmlns="http://schemas.openxmlformats.org/officeDocument/2006/custom-properties" xmlns:vt="http://schemas.openxmlformats.org/officeDocument/2006/docPropsVTypes"/>
</file>