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UI/UX Component and Color Specification</w:t>
      </w:r>
    </w:p>
    <w:p>
      <w:pPr>
        <w:pStyle w:val="Heading2"/>
        <w:pStyle w:val="MdHeading2"/>
      </w:pPr>
      <w:r>
        <w:t xml:space="preserve">Obsidian Gold and Emerald Neo-Deco</w:t>
      </w:r>
    </w:p>
    <w:p>
      <w:pPr>
        <w:pStyle w:val="MdParagraph"/>
      </w:pPr>
      <w:r>
        <w:rPr>
          <w:rStyle w:val="MdStrong"/>
          <w:b/>
          <w:bCs/>
        </w:rPr>
        <w:t xml:space="preserve">Prepared for:</w:t>
      </w:r>
      <w:r>
        <w:t xml:space="preserve"> George portfolio businesses</w:t>
      </w:r>
      <w:r>
        <w:rPr>
          <w:rStyle w:val="MdBr"/>
        </w:rPr>
        <w:br/>
        <w:t xml:space="preserve"/>
      </w:r>
      <w:r>
        <w:rPr>
          <w:rStyle w:val="MdStrong"/>
          <w:b/>
          <w:bCs/>
        </w:rPr>
        <w:t xml:space="preserve">Applies to:</w:t>
      </w:r>
      <w:r>
        <w:t xml:space="preserve"> Great Wall Casino, Eagle Star Security, websites, customer portals, booking flows, service pages, operational interfaces, mobile layouts, signage interfaces and digital campaigns</w:t>
      </w:r>
      <w:r>
        <w:rPr>
          <w:rStyle w:val="MdBr"/>
        </w:rPr>
        <w:br/>
        <w:t xml:space="preserve"/>
      </w:r>
      <w:r>
        <w:rPr>
          <w:rStyle w:val="MdStrong"/>
          <w:b/>
          <w:bCs/>
        </w:rPr>
        <w:t xml:space="preserve">Author:</w:t>
      </w:r>
      <w:r>
        <w:t xml:space="preserve"> Manus AI</w:t>
      </w:r>
      <w:r>
        <w:rPr>
          <w:rStyle w:val="MdBr"/>
        </w:rPr>
        <w:br/>
        <w:t xml:space="preserve"/>
      </w:r>
      <w:r>
        <w:rPr>
          <w:rStyle w:val="MdStrong"/>
          <w:b/>
          <w:bCs/>
        </w:rPr>
        <w:t xml:space="preserve">Date:</w:t>
      </w:r>
      <w:r>
        <w:t xml:space="preserve"> 20 August 2026</w:t>
      </w:r>
    </w:p>
    <w:p>
      <w:pPr>
        <w:pStyle w:val="MdSpace"/>
        <w:spacing w:before="0" w:after="60"/>
      </w:pPr>
    </w:p>
    <w:p>
      <w:pPr>
        <w:pStyle w:val="Heading2"/>
        <w:pStyle w:val="MdHeading2"/>
      </w:pPr>
      <w:r>
        <w:t xml:space="preserve">1. Purpose and implementation status</w:t>
      </w:r>
    </w:p>
    <w:p>
      <w:pPr>
        <w:pStyle w:val="MdParagraph"/>
      </w:pPr>
      <w:r>
        <w:t xml:space="preserve">This document translates the </w:t>
      </w:r>
      <w:r>
        <w:rPr>
          <w:rStyle w:val="MdStrong"/>
          <w:b/>
          <w:bCs/>
        </w:rPr>
        <w:t xml:space="preserve">Obsidian Gold</w:t>
      </w:r>
      <w:r>
        <w:t xml:space="preserve"> and </w:t>
      </w:r>
      <w:r>
        <w:rPr>
          <w:rStyle w:val="MdStrong"/>
          <w:b/>
          <w:bCs/>
        </w:rPr>
        <w:t xml:space="preserve">Emerald Neo-Deco</w:t>
      </w:r>
      <w:r>
        <w:t xml:space="preserve"> creative directions into implementable interface rules. It defines semantic color roles, component behavior, interaction states, layout conventions, accessibility requirements and initial Pantone specifications for production testing.</w:t>
      </w:r>
    </w:p>
    <w:p>
      <w:pPr>
        <w:pStyle w:val="MdSpace"/>
        <w:spacing w:before="0" w:after="60"/>
      </w:pPr>
    </w:p>
    <w:p>
      <w:pPr>
        <w:pStyle w:val="MdBlockquote"/>
      </w:pPr>
      <w:r>
        <w:rPr>
          <w:rStyle w:val="MdStrong"/>
          <w:b/>
          <w:bCs/>
        </w:rPr>
        <w:t xml:space="preserve">Pantone status:</w:t>
      </w:r>
      <w:r>
        <w:t xml:space="preserve"> the Pantone numbers below are </w:t>
      </w:r>
      <w:r>
        <w:rPr>
          <w:rStyle w:val="MdStrong"/>
          <w:b/>
          <w:bCs/>
        </w:rPr>
        <w:t xml:space="preserve">production starting points</w:t>
      </w:r>
      <w:r>
        <w:t xml:space="preserve">, not final press approvals. A HEX color is emitted light, while a Pantone color is reflected ink or material; there is no guaranteed one-to-one visual conversion. Pantone recommends comparing spot color, CMYK, sRGB and HTML values through Color Bridge or Pantone Connect and evaluating physical swatches under suitable lighting.</w:t>
      </w:r>
      <w:hyperlink w:history="1" r:id="rIdcg7pjpodhumkmijn44vsv">
        <w:r>
          <w:rPr>
            <w:rStyle w:val="MdLink"/>
          </w:rPr>
          <w:t xml:space="preserve">5</w:t>
        </w:r>
      </w:hyperlink>
      <w:r>
        <w:t xml:space="preserve"> </w:t>
      </w:r>
      <w:hyperlink w:history="1" r:id="rIdawi5stc3rs5c0crg2wn1u">
        <w:r>
          <w:rPr>
            <w:rStyle w:val="MdLink"/>
          </w:rPr>
          <w:t xml:space="preserve">6</w:t>
        </w:r>
      </w:hyperlink>
    </w:p>
    <w:p>
      <w:pPr>
        <w:pStyle w:val="MdSpace"/>
        <w:spacing w:before="0" w:after="60"/>
      </w:pPr>
    </w:p>
    <w:p>
      <w:pPr>
        <w:pStyle w:val="MdParagraph"/>
      </w:pPr>
      <w:r>
        <w:t xml:space="preserve">The definitive brand standard should therefore contain four separately approved targets: </w:t>
      </w:r>
      <w:r>
        <w:rPr>
          <w:rStyle w:val="MdStrong"/>
          <w:b/>
          <w:bCs/>
        </w:rPr>
        <w:t xml:space="preserve">digital HEX/sRGB</w:t>
      </w:r>
      <w:r>
        <w:t xml:space="preserve">, </w:t>
      </w:r>
      <w:r>
        <w:rPr>
          <w:rStyle w:val="MdStrong"/>
          <w:b/>
          <w:bCs/>
        </w:rPr>
        <w:t xml:space="preserve">CMYK process</w:t>
      </w:r>
      <w:r>
        <w:t xml:space="preserve">, </w:t>
      </w:r>
      <w:r>
        <w:rPr>
          <w:rStyle w:val="MdStrong"/>
          <w:b/>
          <w:bCs/>
        </w:rPr>
        <w:t xml:space="preserve">Pantone spot</w:t>
      </w:r>
      <w:r>
        <w:t xml:space="preserve">, and </w:t>
      </w:r>
      <w:r>
        <w:rPr>
          <w:rStyle w:val="MdStrong"/>
          <w:b/>
          <w:bCs/>
        </w:rPr>
        <w:t xml:space="preserve">material finish</w:t>
      </w:r>
      <w:r>
        <w:t xml:space="preserve"> such as foil, anodised metal, vinyl, paint or embroidery thread.</w:t>
      </w:r>
    </w:p>
    <w:p>
      <w:pPr>
        <w:pStyle w:val="MdSpace"/>
        <w:spacing w:before="0" w:after="60"/>
      </w:pPr>
    </w:p>
    <w:p>
      <w:pPr>
        <w:pStyle w:val="Heading2"/>
        <w:pStyle w:val="MdHeading2"/>
      </w:pPr>
      <w:r>
        <w:t xml:space="preserve">2. Shared UI/UX foundation</w:t>
      </w:r>
    </w:p>
    <w:p>
      <w:pPr>
        <w:pStyle w:val="Heading3"/>
        <w:pStyle w:val="MdHeading3"/>
      </w:pPr>
      <w:r>
        <w:t xml:space="preserve">2.1 Semantic color architecture</w:t>
      </w:r>
    </w:p>
    <w:p>
      <w:pPr>
        <w:pStyle w:val="MdParagraph"/>
      </w:pPr>
      <w:r>
        <w:t xml:space="preserve">Do not insert raw palette values directly into components. Components should consume stable semantic tokens such as </w:t>
      </w:r>
      <w:r>
        <w:rPr>
          <w:rStyle w:val="MdCode"/>
          <w:u w:val="single"/>
        </w:rPr>
        <w:t xml:space="preserve">surface</w:t>
      </w:r>
      <w:r>
        <w:t xml:space="preserve">, </w:t>
      </w:r>
      <w:r>
        <w:rPr>
          <w:rStyle w:val="MdCode"/>
          <w:u w:val="single"/>
        </w:rPr>
        <w:t xml:space="preserve">on-surface</w:t>
      </w:r>
      <w:r>
        <w:t xml:space="preserve">, </w:t>
      </w:r>
      <w:r>
        <w:rPr>
          <w:rStyle w:val="MdCode"/>
          <w:u w:val="single"/>
        </w:rPr>
        <w:t xml:space="preserve">primary</w:t>
      </w:r>
      <w:r>
        <w:t xml:space="preserve">, </w:t>
      </w:r>
      <w:r>
        <w:rPr>
          <w:rStyle w:val="MdCode"/>
          <w:u w:val="single"/>
        </w:rPr>
        <w:t xml:space="preserve">on-primary</w:t>
      </w:r>
      <w:r>
        <w:t xml:space="preserve">, </w:t>
      </w:r>
      <w:r>
        <w:rPr>
          <w:rStyle w:val="MdCode"/>
          <w:u w:val="single"/>
        </w:rPr>
        <w:t xml:space="preserve">outline</w:t>
      </w:r>
      <w:r>
        <w:t xml:space="preserve">, </w:t>
      </w:r>
      <w:r>
        <w:rPr>
          <w:rStyle w:val="MdCode"/>
          <w:u w:val="single"/>
        </w:rPr>
        <w:t xml:space="preserve">focus</w:t>
      </w:r>
      <w:r>
        <w:t xml:space="preserve">, </w:t>
      </w:r>
      <w:r>
        <w:rPr>
          <w:rStyle w:val="MdCode"/>
          <w:u w:val="single"/>
        </w:rPr>
        <w:t xml:space="preserve">success</w:t>
      </w:r>
      <w:r>
        <w:t xml:space="preserve"> and </w:t>
      </w:r>
      <w:r>
        <w:rPr>
          <w:rStyle w:val="MdCode"/>
          <w:u w:val="single"/>
        </w:rPr>
        <w:t xml:space="preserve">error</w:t>
      </w:r>
      <w:r>
        <w:t xml:space="preserve">. Role-based naming allows the same component structure to operate across dark, light, casino and security themes without exceptions. This follows current design-system practice in which surface colors, container colors and their corresponding “on” colors are paired intentionally.</w:t>
      </w:r>
      <w:hyperlink w:history="1" r:id="rIdxvbtalvpqcu7q1szmt-ob">
        <w:r>
          <w:rPr>
            <w:rStyle w:val="MdLink"/>
          </w:rPr>
          <w:t xml:space="preserve">3</w:t>
        </w:r>
      </w:hyperlink>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Token class</w:t>
            </w:r>
          </w:p>
        </w:tc>
        <w:tc>
          <w:tcPr>
            <w:tcMar>
              <w:top w:type="dxa" w:w="100"/>
              <w:left w:type="dxa" w:w="120"/>
              <w:bottom w:type="dxa" w:w="100"/>
              <w:right w:type="dxa" w:w="120"/>
            </w:tcMar>
            <w:vAlign w:val="center"/>
          </w:tcPr>
          <w:p>
            <w:pPr>
              <w:pStyle w:val="MdTableHeader"/>
            </w:pPr>
            <w:r>
              <w:t xml:space="preserve">Purpose</w:t>
            </w:r>
          </w:p>
        </w:tc>
        <w:tc>
          <w:tcPr>
            <w:tcBorders>
              <w:right w:val="none"/>
            </w:tcBorders>
            <w:tcMar>
              <w:top w:type="dxa" w:w="100"/>
              <w:left w:type="dxa" w:w="120"/>
              <w:bottom w:type="dxa" w:w="100"/>
              <w:right w:type="dxa" w:w="120"/>
            </w:tcMar>
            <w:vAlign w:val="center"/>
          </w:tcPr>
          <w:p>
            <w:pPr>
              <w:pStyle w:val="MdTableHeader"/>
            </w:pPr>
            <w:r>
              <w:t xml:space="preserve">Implementation rule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surface-*</w:t>
            </w:r>
          </w:p>
        </w:tc>
        <w:tc>
          <w:tcPr>
            <w:tcMar>
              <w:top w:type="dxa" w:w="80"/>
              <w:left w:type="dxa" w:w="120"/>
              <w:bottom w:type="dxa" w:w="80"/>
              <w:right w:type="dxa" w:w="120"/>
            </w:tcMar>
            <w:vAlign w:val="center"/>
          </w:tcPr>
          <w:p>
            <w:pPr>
              <w:pStyle w:val="MdTableCell"/>
            </w:pPr>
            <w:r>
              <w:t xml:space="preserve">Page and container backgrounds</w:t>
            </w:r>
          </w:p>
        </w:tc>
        <w:tc>
          <w:tcPr>
            <w:tcBorders>
              <w:right w:val="none"/>
            </w:tcBorders>
            <w:tcMar>
              <w:top w:type="dxa" w:w="80"/>
              <w:left w:type="dxa" w:w="120"/>
              <w:bottom w:type="dxa" w:w="80"/>
              <w:right w:type="dxa" w:w="120"/>
            </w:tcMar>
            <w:vAlign w:val="center"/>
          </w:tcPr>
          <w:p>
            <w:pPr>
              <w:pStyle w:val="MdTableCell"/>
            </w:pPr>
            <w:r>
              <w:t xml:space="preserve">Use neutral hierarchy, not shadows, to communicate elevation.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on-surface-*</w:t>
            </w:r>
          </w:p>
        </w:tc>
        <w:tc>
          <w:tcPr>
            <w:tcMar>
              <w:top w:type="dxa" w:w="80"/>
              <w:left w:type="dxa" w:w="120"/>
              <w:bottom w:type="dxa" w:w="80"/>
              <w:right w:type="dxa" w:w="120"/>
            </w:tcMar>
            <w:vAlign w:val="center"/>
          </w:tcPr>
          <w:p>
            <w:pPr>
              <w:pStyle w:val="MdTableCell"/>
            </w:pPr>
            <w:r>
              <w:t xml:space="preserve">Text and icons on surfaces</w:t>
            </w:r>
          </w:p>
        </w:tc>
        <w:tc>
          <w:tcPr>
            <w:tcBorders>
              <w:right w:val="none"/>
            </w:tcBorders>
            <w:tcMar>
              <w:top w:type="dxa" w:w="80"/>
              <w:left w:type="dxa" w:w="120"/>
              <w:bottom w:type="dxa" w:w="80"/>
              <w:right w:type="dxa" w:w="120"/>
            </w:tcMar>
            <w:vAlign w:val="center"/>
          </w:tcPr>
          <w:p>
            <w:pPr>
              <w:pStyle w:val="MdTableCell"/>
            </w:pPr>
            <w:r>
              <w:t xml:space="preserve">Never infer the foreground color from the palette; specify the approved pair.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primary-*</w:t>
            </w:r>
          </w:p>
        </w:tc>
        <w:tc>
          <w:tcPr>
            <w:tcMar>
              <w:top w:type="dxa" w:w="80"/>
              <w:left w:type="dxa" w:w="120"/>
              <w:bottom w:type="dxa" w:w="80"/>
              <w:right w:type="dxa" w:w="120"/>
            </w:tcMar>
            <w:vAlign w:val="center"/>
          </w:tcPr>
          <w:p>
            <w:pPr>
              <w:pStyle w:val="MdTableCell"/>
            </w:pPr>
            <w:r>
              <w:t xml:space="preserve">Main action and selection</w:t>
            </w:r>
          </w:p>
        </w:tc>
        <w:tc>
          <w:tcPr>
            <w:tcBorders>
              <w:right w:val="none"/>
            </w:tcBorders>
            <w:tcMar>
              <w:top w:type="dxa" w:w="80"/>
              <w:left w:type="dxa" w:w="120"/>
              <w:bottom w:type="dxa" w:w="80"/>
              <w:right w:type="dxa" w:w="120"/>
            </w:tcMar>
            <w:vAlign w:val="center"/>
          </w:tcPr>
          <w:p>
            <w:pPr>
              <w:pStyle w:val="MdTableCell"/>
            </w:pPr>
            <w:r>
              <w:t xml:space="preserve">One dominant action per region. Brand metallic colors are not automatically action colors.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outline-*</w:t>
            </w:r>
          </w:p>
        </w:tc>
        <w:tc>
          <w:tcPr>
            <w:tcMar>
              <w:top w:type="dxa" w:w="80"/>
              <w:left w:type="dxa" w:w="120"/>
              <w:bottom w:type="dxa" w:w="80"/>
              <w:right w:type="dxa" w:w="120"/>
            </w:tcMar>
            <w:vAlign w:val="center"/>
          </w:tcPr>
          <w:p>
            <w:pPr>
              <w:pStyle w:val="MdTableCell"/>
            </w:pPr>
            <w:r>
              <w:t xml:space="preserve">Fields, controls and structural rules</w:t>
            </w:r>
          </w:p>
        </w:tc>
        <w:tc>
          <w:tcPr>
            <w:tcBorders>
              <w:right w:val="none"/>
            </w:tcBorders>
            <w:tcMar>
              <w:top w:type="dxa" w:w="80"/>
              <w:left w:type="dxa" w:w="120"/>
              <w:bottom w:type="dxa" w:w="80"/>
              <w:right w:type="dxa" w:w="120"/>
            </w:tcMar>
            <w:vAlign w:val="center"/>
          </w:tcPr>
          <w:p>
            <w:pPr>
              <w:pStyle w:val="MdTableCell"/>
            </w:pPr>
            <w:r>
              <w:t xml:space="preserve">Functional boundaries must remain visible at 3:1 where required. Decorative dividers may be lower emphasis.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status-*</w:t>
            </w:r>
          </w:p>
        </w:tc>
        <w:tc>
          <w:tcPr>
            <w:tcMar>
              <w:top w:type="dxa" w:w="80"/>
              <w:left w:type="dxa" w:w="120"/>
              <w:bottom w:type="dxa" w:w="80"/>
              <w:right w:type="dxa" w:w="120"/>
            </w:tcMar>
            <w:vAlign w:val="center"/>
          </w:tcPr>
          <w:p>
            <w:pPr>
              <w:pStyle w:val="MdTableCell"/>
            </w:pPr>
            <w:r>
              <w:t xml:space="preserve">Success, warning, error and information</w:t>
            </w:r>
          </w:p>
        </w:tc>
        <w:tc>
          <w:tcPr>
            <w:tcBorders>
              <w:right w:val="none"/>
            </w:tcBorders>
            <w:tcMar>
              <w:top w:type="dxa" w:w="80"/>
              <w:left w:type="dxa" w:w="120"/>
              <w:bottom w:type="dxa" w:w="80"/>
              <w:right w:type="dxa" w:w="120"/>
            </w:tcMar>
            <w:vAlign w:val="center"/>
          </w:tcPr>
          <w:p>
            <w:pPr>
              <w:pStyle w:val="MdTableCell"/>
            </w:pPr>
            <w:r>
              <w:t xml:space="preserve">Every state requires an icon or shape and a written label; color alone is prohibited.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focus-*</w:t>
            </w:r>
          </w:p>
        </w:tc>
        <w:tc>
          <w:tcPr>
            <w:tcBorders>
              <w:bottom w:val="single" w:color="E1E4E8" w:sz="4"/>
            </w:tcBorders>
            <w:tcMar>
              <w:top w:type="dxa" w:w="80"/>
              <w:left w:type="dxa" w:w="120"/>
              <w:bottom w:type="dxa" w:w="80"/>
              <w:right w:type="dxa" w:w="120"/>
            </w:tcMar>
            <w:vAlign w:val="center"/>
          </w:tcPr>
          <w:p>
            <w:pPr>
              <w:pStyle w:val="MdTableCell"/>
            </w:pPr>
            <w:r>
              <w:t xml:space="preserve">Keyboard focus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Must remain visually separate from hover and selected states.</w:t>
            </w:r>
          </w:p>
        </w:tc>
      </w:tr>
    </w:tbl>
    <w:p>
      <w:pPr>
        <w:pStyle w:val="Heading3"/>
        <w:pStyle w:val="MdHeading3"/>
      </w:pPr>
      <w:r>
        <w:t xml:space="preserve">2.2 Accessibility baseline</w:t>
      </w:r>
    </w:p>
    <w:p>
      <w:pPr>
        <w:pStyle w:val="MdParagraph"/>
      </w:pPr>
      <w:r>
        <w:t xml:space="preserve">Normal text must achieve at least </w:t>
      </w:r>
      <w:r>
        <w:rPr>
          <w:rStyle w:val="MdStrong"/>
          <w:b/>
          <w:bCs/>
        </w:rPr>
        <w:t xml:space="preserve">4.5:1</w:t>
      </w:r>
      <w:r>
        <w:t xml:space="preserve"> contrast, while large text must achieve at least </w:t>
      </w:r>
      <w:r>
        <w:rPr>
          <w:rStyle w:val="MdStrong"/>
          <w:b/>
          <w:bCs/>
        </w:rPr>
        <w:t xml:space="preserve">3:1</w:t>
      </w:r>
      <w:r>
        <w:t xml:space="preserve">. Meaningful control boundaries, icons and component states require at least </w:t>
      </w:r>
      <w:r>
        <w:rPr>
          <w:rStyle w:val="MdStrong"/>
          <w:b/>
          <w:bCs/>
        </w:rPr>
        <w:t xml:space="preserve">3:1</w:t>
      </w:r>
      <w:r>
        <w:t xml:space="preserve"> against adjacent colors.</w:t>
      </w:r>
      <w:hyperlink w:history="1" r:id="rId0r19w6qjeriq-pmsqctro">
        <w:r>
          <w:rPr>
            <w:rStyle w:val="MdLink"/>
          </w:rPr>
          <w:t xml:space="preserve">1</w:t>
        </w:r>
      </w:hyperlink>
      <w:r>
        <w:t xml:space="preserve"> </w:t>
      </w:r>
      <w:hyperlink w:history="1" r:id="rIdceh8x6-p25eljorva3qgl">
        <w:r>
          <w:rPr>
            <w:rStyle w:val="MdLink"/>
          </w:rPr>
          <w:t xml:space="preserve">2</w:t>
        </w:r>
      </w:hyperlink>
      <w:r>
        <w:t xml:space="preserve"> Thin display typography should exceed the nominal threshold because anti-aliasing can make it appear lighter than its specified color.</w:t>
      </w:r>
      <w:hyperlink w:history="1" r:id="rIddsbnfs8tkemk3_p5jo_la">
        <w:r>
          <w:rPr>
            <w:rStyle w:val="MdLink"/>
          </w:rPr>
          <w:t xml:space="preserve">1</w:t>
        </w:r>
      </w:hyperlink>
    </w:p>
    <w:p>
      <w:pPr>
        <w:pStyle w:val="MdSpace"/>
        <w:spacing w:before="0" w:after="60"/>
      </w:pPr>
    </w:p>
    <w:p>
      <w:pPr>
        <w:pStyle w:val="MdParagraph"/>
      </w:pPr>
      <w:r>
        <w:t xml:space="preserve">Interactive targets should be designed at </w:t>
      </w:r>
      <w:r>
        <w:rPr>
          <w:rStyle w:val="MdStrong"/>
          <w:b/>
          <w:bCs/>
        </w:rPr>
        <w:t xml:space="preserve">44 × 44 CSS px</w:t>
      </w:r>
      <w:r>
        <w:t xml:space="preserve"> wherever practical. WCAG 2.2 Level AA permits a 24 × 24 CSS px minimum with defined spacing exceptions, but larger targets are recommended for important controls.</w:t>
      </w:r>
      <w:hyperlink w:history="1" r:id="rIdk1kswbymf-q687xrqramb">
        <w:r>
          <w:rPr>
            <w:rStyle w:val="MdLink"/>
          </w:rPr>
          <w:t xml:space="preserve">7</w:t>
        </w:r>
      </w:hyperlink>
      <w:r>
        <w:t xml:space="preserve"> Keyboard focus should use a solid </w:t>
      </w:r>
      <w:r>
        <w:rPr>
          <w:rStyle w:val="MdStrong"/>
          <w:b/>
          <w:bCs/>
        </w:rPr>
        <w:t xml:space="preserve">2 px perimeter</w:t>
      </w:r>
      <w:r>
        <w:t xml:space="preserve"> with at least a </w:t>
      </w:r>
      <w:r>
        <w:rPr>
          <w:rStyle w:val="MdStrong"/>
          <w:b/>
          <w:bCs/>
        </w:rPr>
        <w:t xml:space="preserve">3:1 focused-to-unfocused change</w:t>
      </w:r>
      <w:r>
        <w:t xml:space="preserve">; a 2 px offset is recommended for visual separation.</w:t>
      </w:r>
      <w:hyperlink w:history="1" r:id="rIdlcqspvfu08odostlsp7ss">
        <w:r>
          <w:rPr>
            <w:rStyle w:val="MdLink"/>
          </w:rPr>
          <w:t xml:space="preserve">8</w:t>
        </w:r>
      </w:hyperlink>
    </w:p>
    <w:p>
      <w:pPr>
        <w:pStyle w:val="MdSpace"/>
        <w:spacing w:before="0" w:after="60"/>
      </w:pPr>
    </w:p>
    <w:p>
      <w:pPr>
        <w:pStyle w:val="Heading3"/>
        <w:pStyle w:val="MdHeading3"/>
      </w:pPr>
      <w:r>
        <w:t xml:space="preserve">2.3 Shared dimensional rules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Foundation</w:t>
            </w:r>
          </w:p>
        </w:tc>
        <w:tc>
          <w:tcPr>
            <w:tcBorders>
              <w:right w:val="none"/>
            </w:tcBorders>
            <w:tcMar>
              <w:top w:type="dxa" w:w="100"/>
              <w:left w:type="dxa" w:w="120"/>
              <w:bottom w:type="dxa" w:w="100"/>
              <w:right w:type="dxa" w:w="120"/>
            </w:tcMar>
            <w:vAlign w:val="center"/>
          </w:tcPr>
          <w:p>
            <w:pPr>
              <w:pStyle w:val="MdTableHeader"/>
            </w:pPr>
            <w:r>
              <w:t xml:space="preserve">Specification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Base spacing unit</w:t>
            </w:r>
          </w:p>
        </w:tc>
        <w:tc>
          <w:tcPr>
            <w:tcBorders>
              <w:right w:val="none"/>
            </w:tcBorders>
            <w:tcMar>
              <w:top w:type="dxa" w:w="80"/>
              <w:left w:type="dxa" w:w="120"/>
              <w:bottom w:type="dxa" w:w="80"/>
              <w:right w:type="dxa" w:w="120"/>
            </w:tcMar>
            <w:vAlign w:val="center"/>
          </w:tcPr>
          <w:p>
            <w:pPr>
              <w:pStyle w:val="MdTableCell"/>
            </w:pPr>
            <w:r>
              <w:t xml:space="preserve">8 px, with 4 px for optical adjustment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Content width</w:t>
            </w:r>
          </w:p>
        </w:tc>
        <w:tc>
          <w:tcPr>
            <w:tcBorders>
              <w:right w:val="none"/>
            </w:tcBorders>
            <w:tcMar>
              <w:top w:type="dxa" w:w="80"/>
              <w:left w:type="dxa" w:w="120"/>
              <w:bottom w:type="dxa" w:w="80"/>
              <w:right w:type="dxa" w:w="120"/>
            </w:tcMar>
            <w:vAlign w:val="center"/>
          </w:tcPr>
          <w:p>
            <w:pPr>
              <w:pStyle w:val="MdTableCell"/>
            </w:pPr>
            <w:r>
              <w:t xml:space="preserve">1200–1280 px maximum for marketing; 960 px maximum for reading-heavy 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Body text measure</w:t>
            </w:r>
          </w:p>
        </w:tc>
        <w:tc>
          <w:tcPr>
            <w:tcBorders>
              <w:right w:val="none"/>
            </w:tcBorders>
            <w:tcMar>
              <w:top w:type="dxa" w:w="80"/>
              <w:left w:type="dxa" w:w="120"/>
              <w:bottom w:type="dxa" w:w="80"/>
              <w:right w:type="dxa" w:w="120"/>
            </w:tcMar>
            <w:vAlign w:val="center"/>
          </w:tcPr>
          <w:p>
            <w:pPr>
              <w:pStyle w:val="MdTableCell"/>
            </w:pPr>
            <w:r>
              <w:t xml:space="preserve">55–70 characters per 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control height</w:t>
            </w:r>
          </w:p>
        </w:tc>
        <w:tc>
          <w:tcPr>
            <w:tcBorders>
              <w:right w:val="none"/>
            </w:tcBorders>
            <w:tcMar>
              <w:top w:type="dxa" w:w="80"/>
              <w:left w:type="dxa" w:w="120"/>
              <w:bottom w:type="dxa" w:w="80"/>
              <w:right w:type="dxa" w:w="120"/>
            </w:tcMar>
            <w:vAlign w:val="center"/>
          </w:tcPr>
          <w:p>
            <w:pPr>
              <w:pStyle w:val="MdTableCell"/>
            </w:pPr>
            <w:r>
              <w:t xml:space="preserve">48 px desktop and mobile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Compact control height</w:t>
            </w:r>
          </w:p>
        </w:tc>
        <w:tc>
          <w:tcPr>
            <w:tcBorders>
              <w:right w:val="none"/>
            </w:tcBorders>
            <w:tcMar>
              <w:top w:type="dxa" w:w="80"/>
              <w:left w:type="dxa" w:w="120"/>
              <w:bottom w:type="dxa" w:w="80"/>
              <w:right w:type="dxa" w:w="120"/>
            </w:tcMar>
            <w:vAlign w:val="center"/>
          </w:tcPr>
          <w:p>
            <w:pPr>
              <w:pStyle w:val="MdTableCell"/>
            </w:pPr>
            <w:r>
              <w:t xml:space="preserve">40 px, restricted to dense desktop operations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Icon-only control</w:t>
            </w:r>
          </w:p>
        </w:tc>
        <w:tc>
          <w:tcPr>
            <w:tcBorders>
              <w:right w:val="none"/>
            </w:tcBorders>
            <w:tcMar>
              <w:top w:type="dxa" w:w="80"/>
              <w:left w:type="dxa" w:w="120"/>
              <w:bottom w:type="dxa" w:w="80"/>
              <w:right w:type="dxa" w:w="120"/>
            </w:tcMar>
            <w:vAlign w:val="center"/>
          </w:tcPr>
          <w:p>
            <w:pPr>
              <w:pStyle w:val="MdTableCell"/>
            </w:pPr>
            <w:r>
              <w:t xml:space="preserve">44 × 44 px default; accessible name 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Field height</w:t>
            </w:r>
          </w:p>
        </w:tc>
        <w:tc>
          <w:tcPr>
            <w:tcBorders>
              <w:right w:val="none"/>
            </w:tcBorders>
            <w:tcMar>
              <w:top w:type="dxa" w:w="80"/>
              <w:left w:type="dxa" w:w="120"/>
              <w:bottom w:type="dxa" w:w="80"/>
              <w:right w:type="dxa" w:w="120"/>
            </w:tcMar>
            <w:vAlign w:val="center"/>
          </w:tcPr>
          <w:p>
            <w:pPr>
              <w:pStyle w:val="MdTableCell"/>
            </w:pPr>
            <w:r>
              <w:t xml:space="preserve">52 px default; 44 px compact operational mode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Border</w:t>
            </w:r>
          </w:p>
        </w:tc>
        <w:tc>
          <w:tcPr>
            <w:tcBorders>
              <w:right w:val="none"/>
            </w:tcBorders>
            <w:tcMar>
              <w:top w:type="dxa" w:w="80"/>
              <w:left w:type="dxa" w:w="120"/>
              <w:bottom w:type="dxa" w:w="80"/>
              <w:right w:type="dxa" w:w="120"/>
            </w:tcMar>
            <w:vAlign w:val="center"/>
          </w:tcPr>
          <w:p>
            <w:pPr>
              <w:pStyle w:val="MdTableCell"/>
            </w:pPr>
            <w:r>
              <w:t xml:space="preserve">1 px default; 2 px focus, selected or error state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Card shadow</w:t>
            </w:r>
          </w:p>
        </w:tc>
        <w:tc>
          <w:tcPr>
            <w:tcBorders>
              <w:right w:val="none"/>
            </w:tcBorders>
            <w:tcMar>
              <w:top w:type="dxa" w:w="80"/>
              <w:left w:type="dxa" w:w="120"/>
              <w:bottom w:type="dxa" w:w="80"/>
              <w:right w:type="dxa" w:w="120"/>
            </w:tcMar>
            <w:vAlign w:val="center"/>
          </w:tcPr>
          <w:p>
            <w:pPr>
              <w:pStyle w:val="MdTableCell"/>
            </w:pPr>
            <w:r>
              <w:t xml:space="preserve">None; use tonal surface change and borders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Body typography</w:t>
            </w:r>
          </w:p>
        </w:tc>
        <w:tc>
          <w:tcPr>
            <w:tcBorders>
              <w:right w:val="none"/>
            </w:tcBorders>
            <w:tcMar>
              <w:top w:type="dxa" w:w="80"/>
              <w:left w:type="dxa" w:w="120"/>
              <w:bottom w:type="dxa" w:w="80"/>
              <w:right w:type="dxa" w:w="120"/>
            </w:tcMar>
            <w:vAlign w:val="center"/>
          </w:tcPr>
          <w:p>
            <w:pPr>
              <w:pStyle w:val="MdTableCell"/>
            </w:pPr>
            <w:r>
              <w:t xml:space="preserve">16–18 px with 1.5–1.65 line height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Motion</w:t>
            </w:r>
          </w:p>
        </w:tc>
        <w:tc>
          <w:tcPr>
            <w:tcBorders>
              <w:right w:val="none"/>
            </w:tcBorders>
            <w:tcMar>
              <w:top w:type="dxa" w:w="80"/>
              <w:left w:type="dxa" w:w="120"/>
              <w:bottom w:type="dxa" w:w="80"/>
              <w:right w:type="dxa" w:w="120"/>
            </w:tcMar>
            <w:vAlign w:val="center"/>
          </w:tcPr>
          <w:p>
            <w:pPr>
              <w:pStyle w:val="MdTableCell"/>
            </w:pPr>
            <w:r>
              <w:t xml:space="preserve">120 ms feedback, 180–220 ms component transition, 360–400 ms narrative reveal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Reduced motion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Remove travelling lines, wipes, parallax and scale; use an immediate state or brief opacity change</w:t>
            </w:r>
          </w:p>
        </w:tc>
      </w:tr>
    </w:tbl>
    <w:p>
      <w:pPr>
        <w:pStyle w:val="MdParagraph"/>
      </w:pPr>
      <w:r>
        <w:t xml:space="preserve">The </w:t>
      </w:r>
      <w:r>
        <w:rPr>
          <w:rStyle w:val="MdCode"/>
          <w:u w:val="single"/>
        </w:rPr>
        <w:t xml:space="preserve">prefers-reduced-motion</w:t>
      </w:r>
      <w:r>
        <w:t xml:space="preserve"> feature is widely available and should be treated as a first-class implementation mode, not as a later accessibility patch.</w:t>
      </w:r>
      <w:hyperlink w:history="1" r:id="rIdrv4f6yjvzrwjpzb9yjkiy">
        <w:r>
          <w:rPr>
            <w:rStyle w:val="MdLink"/>
          </w:rPr>
          <w:t xml:space="preserve">4</w:t>
        </w:r>
      </w:hyperlink>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3. Obsidian Gold specification</w:t>
      </w:r>
    </w:p>
    <w:p>
      <w:pPr>
        <w:pStyle w:val="Heading2"/>
        <w:pStyle w:val="MdHeading2"/>
      </w:pPr>
      <w:r>
        <w:t xml:space="preserve">3.1 Design intent</w:t>
      </w:r>
    </w:p>
    <w:p>
      <w:pPr>
        <w:pStyle w:val="MdParagraph"/>
      </w:pPr>
      <w:r>
        <w:t xml:space="preserve">Obsidian Gold is a </w:t>
      </w:r>
      <w:r>
        <w:rPr>
          <w:rStyle w:val="MdStrong"/>
          <w:b/>
          <w:bCs/>
        </w:rPr>
        <w:t xml:space="preserve">cinematic dark system</w:t>
      </w:r>
      <w:r>
        <w:t xml:space="preserve"> whose recognition comes from a controlled warm-gold </w:t>
      </w:r>
      <w:r>
        <w:rPr>
          <w:rStyle w:val="MdStrong"/>
          <w:b/>
          <w:bCs/>
        </w:rPr>
        <w:t xml:space="preserve">light-cut</w:t>
      </w:r>
      <w:r>
        <w:t xml:space="preserve">. Gold is a signature accent and may also fill a primary action when paired with dark text. It is not the default text color, a universal border, or a replacement for semantic status colors.</w:t>
      </w:r>
    </w:p>
    <w:p>
      <w:pPr>
        <w:pStyle w:val="MdSpace"/>
        <w:spacing w:before="0" w:after="60"/>
      </w:pPr>
    </w:p>
    <w:p>
      <w:pPr>
        <w:pStyle w:val="MdParagraph"/>
      </w:pPr>
      <w:r>
        <w:t xml:space="preserve">Great Wall Casino should use a predominantly dark, spacious expression with slow, deliberate reveals. Eagle Star Security should use a more balanced </w:t>
      </w:r>
      <w:r>
        <w:rPr>
          <w:rStyle w:val="MdStrong"/>
          <w:b/>
          <w:bCs/>
        </w:rPr>
        <w:t xml:space="preserve">Porcelain operational mode</w:t>
      </w:r>
      <w:r>
        <w:t xml:space="preserve">, higher information density and visible status labels. Security interfaces must not inherit an all-dark luxury treatment for policies, reports, incidents, contact routes or long forms.</w:t>
      </w:r>
    </w:p>
    <w:p>
      <w:pPr>
        <w:pStyle w:val="MdSpace"/>
        <w:spacing w:before="0" w:after="60"/>
      </w:pPr>
    </w:p>
    <w:p>
      <w:pPr>
        <w:pStyle w:val="Heading2"/>
        <w:pStyle w:val="MdHeading2"/>
      </w:pPr>
      <w:r>
        <w:t xml:space="preserve">3.2 Core color specification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Brand color</w:t>
            </w:r>
          </w:p>
        </w:tc>
        <w:tc>
          <w:tcPr>
            <w:tcMar>
              <w:top w:type="dxa" w:w="100"/>
              <w:left w:type="dxa" w:w="120"/>
              <w:bottom w:type="dxa" w:w="100"/>
              <w:right w:type="dxa" w:w="120"/>
            </w:tcMar>
            <w:vAlign w:val="center"/>
          </w:tcPr>
          <w:p>
            <w:pPr>
              <w:pStyle w:val="MdTableHeader"/>
              <w:jc w:val="right"/>
            </w:pPr>
            <w:r>
              <w:t xml:space="preserve">Digital HEX</w:t>
            </w:r>
          </w:p>
        </w:tc>
        <w:tc>
          <w:tcPr>
            <w:tcMar>
              <w:top w:type="dxa" w:w="100"/>
              <w:left w:type="dxa" w:w="120"/>
              <w:bottom w:type="dxa" w:w="100"/>
              <w:right w:type="dxa" w:w="120"/>
            </w:tcMar>
            <w:vAlign w:val="center"/>
          </w:tcPr>
          <w:p>
            <w:pPr>
              <w:pStyle w:val="MdTableHeader"/>
            </w:pPr>
            <w:r>
              <w:t xml:space="preserve">Recommended Pantone starting point</w:t>
            </w:r>
          </w:p>
        </w:tc>
        <w:tc>
          <w:tcPr>
            <w:tcMar>
              <w:top w:type="dxa" w:w="100"/>
              <w:left w:type="dxa" w:w="120"/>
              <w:bottom w:type="dxa" w:w="100"/>
              <w:right w:type="dxa" w:w="120"/>
            </w:tcMar>
            <w:vAlign w:val="center"/>
          </w:tcPr>
          <w:p>
            <w:pPr>
              <w:pStyle w:val="MdTableHeader"/>
            </w:pPr>
            <w:r>
              <w:t xml:space="preserve">Material/production option</w:t>
            </w:r>
          </w:p>
        </w:tc>
        <w:tc>
          <w:tcPr>
            <w:tcBorders>
              <w:right w:val="none"/>
            </w:tcBorders>
            <w:tcMar>
              <w:top w:type="dxa" w:w="100"/>
              <w:left w:type="dxa" w:w="120"/>
              <w:bottom w:type="dxa" w:w="100"/>
              <w:right w:type="dxa" w:w="120"/>
            </w:tcMar>
            <w:vAlign w:val="center"/>
          </w:tcPr>
          <w:p>
            <w:pPr>
              <w:pStyle w:val="MdTableHeader"/>
            </w:pPr>
            <w:r>
              <w:t xml:space="preserve">Semantic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Obsidian</w:t>
            </w:r>
          </w:p>
        </w:tc>
        <w:tc>
          <w:tcPr>
            <w:tcMar>
              <w:top w:type="dxa" w:w="80"/>
              <w:left w:type="dxa" w:w="120"/>
              <w:bottom w:type="dxa" w:w="80"/>
              <w:right w:type="dxa" w:w="120"/>
            </w:tcMar>
            <w:vAlign w:val="center"/>
          </w:tcPr>
          <w:p>
            <w:pPr>
              <w:pStyle w:val="MdTableCell"/>
              <w:jc w:val="right"/>
            </w:pPr>
            <w:r>
              <w:rPr>
                <w:rStyle w:val="MdCode"/>
                <w:u w:val="single"/>
              </w:rPr>
              <w:t xml:space="preserve">#0B0B0D</w:t>
            </w:r>
          </w:p>
        </w:tc>
        <w:tc>
          <w:tcPr>
            <w:tcMar>
              <w:top w:type="dxa" w:w="80"/>
              <w:left w:type="dxa" w:w="120"/>
              <w:bottom w:type="dxa" w:w="80"/>
              <w:right w:type="dxa" w:w="120"/>
            </w:tcMar>
            <w:vAlign w:val="center"/>
          </w:tcPr>
          <w:p>
            <w:pPr>
              <w:pStyle w:val="MdTableCell"/>
            </w:pPr>
            <w:r>
              <w:rPr>
                <w:rStyle w:val="MdStrong"/>
                <w:b/>
                <w:bCs/>
              </w:rPr>
              <w:t xml:space="preserve">PMS Black 6 C</w:t>
            </w:r>
            <w:r>
              <w:t xml:space="preserve">; compare </w:t>
            </w:r>
            <w:r>
              <w:rPr>
                <w:rStyle w:val="MdStrong"/>
                <w:b/>
                <w:bCs/>
              </w:rPr>
              <w:t xml:space="preserve">PMS 426 C</w:t>
            </w:r>
          </w:p>
        </w:tc>
        <w:tc>
          <w:tcPr>
            <w:tcMar>
              <w:top w:type="dxa" w:w="80"/>
              <w:left w:type="dxa" w:w="120"/>
              <w:bottom w:type="dxa" w:w="80"/>
              <w:right w:type="dxa" w:w="120"/>
            </w:tcMar>
            <w:vAlign w:val="center"/>
          </w:tcPr>
          <w:p>
            <w:pPr>
              <w:pStyle w:val="MdTableCell"/>
            </w:pPr>
            <w:r>
              <w:t xml:space="preserve">Matte black paint, soft-touch laminate, black technical fabric</w:t>
            </w:r>
          </w:p>
        </w:tc>
        <w:tc>
          <w:tcPr>
            <w:tcBorders>
              <w:right w:val="none"/>
            </w:tcBorders>
            <w:tcMar>
              <w:top w:type="dxa" w:w="80"/>
              <w:left w:type="dxa" w:w="120"/>
              <w:bottom w:type="dxa" w:w="80"/>
              <w:right w:type="dxa" w:w="120"/>
            </w:tcMar>
            <w:vAlign w:val="center"/>
          </w:tcPr>
          <w:p>
            <w:pPr>
              <w:pStyle w:val="MdTableCell"/>
            </w:pPr>
            <w:r>
              <w:t xml:space="preserve">Main cinematic surface, dark header, dark-mode background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Graphite Plane</w:t>
            </w:r>
          </w:p>
        </w:tc>
        <w:tc>
          <w:tcPr>
            <w:tcMar>
              <w:top w:type="dxa" w:w="80"/>
              <w:left w:type="dxa" w:w="120"/>
              <w:bottom w:type="dxa" w:w="80"/>
              <w:right w:type="dxa" w:w="120"/>
            </w:tcMar>
            <w:vAlign w:val="center"/>
          </w:tcPr>
          <w:p>
            <w:pPr>
              <w:pStyle w:val="MdTableCell"/>
              <w:jc w:val="right"/>
            </w:pPr>
            <w:r>
              <w:rPr>
                <w:rStyle w:val="MdCode"/>
                <w:u w:val="single"/>
              </w:rPr>
              <w:t xml:space="preserve">#17171A</w:t>
            </w:r>
          </w:p>
        </w:tc>
        <w:tc>
          <w:tcPr>
            <w:tcMar>
              <w:top w:type="dxa" w:w="80"/>
              <w:left w:type="dxa" w:w="120"/>
              <w:bottom w:type="dxa" w:w="80"/>
              <w:right w:type="dxa" w:w="120"/>
            </w:tcMar>
            <w:vAlign w:val="center"/>
          </w:tcPr>
          <w:p>
            <w:pPr>
              <w:pStyle w:val="MdTableCell"/>
            </w:pPr>
            <w:r>
              <w:rPr>
                <w:rStyle w:val="MdStrong"/>
                <w:b/>
                <w:bCs/>
              </w:rPr>
              <w:t xml:space="preserve">PMS 426 C</w:t>
            </w:r>
          </w:p>
        </w:tc>
        <w:tc>
          <w:tcPr>
            <w:tcMar>
              <w:top w:type="dxa" w:w="80"/>
              <w:left w:type="dxa" w:w="120"/>
              <w:bottom w:type="dxa" w:w="80"/>
              <w:right w:type="dxa" w:w="120"/>
            </w:tcMar>
            <w:vAlign w:val="center"/>
          </w:tcPr>
          <w:p>
            <w:pPr>
              <w:pStyle w:val="MdTableCell"/>
            </w:pPr>
            <w:r>
              <w:t xml:space="preserve">Charcoal vinyl, powder coat or fabric</w:t>
            </w:r>
          </w:p>
        </w:tc>
        <w:tc>
          <w:tcPr>
            <w:tcBorders>
              <w:right w:val="none"/>
            </w:tcBorders>
            <w:tcMar>
              <w:top w:type="dxa" w:w="80"/>
              <w:left w:type="dxa" w:w="120"/>
              <w:bottom w:type="dxa" w:w="80"/>
              <w:right w:type="dxa" w:w="120"/>
            </w:tcMar>
            <w:vAlign w:val="center"/>
          </w:tcPr>
          <w:p>
            <w:pPr>
              <w:pStyle w:val="MdTableCell"/>
            </w:pPr>
            <w:r>
              <w:t xml:space="preserve">Raised dark surface, card, drawer, navigation container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Warm Metallic Gold</w:t>
            </w:r>
          </w:p>
        </w:tc>
        <w:tc>
          <w:tcPr>
            <w:tcMar>
              <w:top w:type="dxa" w:w="80"/>
              <w:left w:type="dxa" w:w="120"/>
              <w:bottom w:type="dxa" w:w="80"/>
              <w:right w:type="dxa" w:w="120"/>
            </w:tcMar>
            <w:vAlign w:val="center"/>
          </w:tcPr>
          <w:p>
            <w:pPr>
              <w:pStyle w:val="MdTableCell"/>
              <w:jc w:val="right"/>
            </w:pPr>
            <w:r>
              <w:rPr>
                <w:rStyle w:val="MdCode"/>
                <w:u w:val="single"/>
              </w:rPr>
              <w:t xml:space="preserve">#C7A15A</w:t>
            </w:r>
          </w:p>
        </w:tc>
        <w:tc>
          <w:tcPr>
            <w:tcMar>
              <w:top w:type="dxa" w:w="80"/>
              <w:left w:type="dxa" w:w="120"/>
              <w:bottom w:type="dxa" w:w="80"/>
              <w:right w:type="dxa" w:w="120"/>
            </w:tcMar>
            <w:vAlign w:val="center"/>
          </w:tcPr>
          <w:p>
            <w:pPr>
              <w:pStyle w:val="MdTableCell"/>
            </w:pPr>
            <w:r>
              <w:rPr>
                <w:rStyle w:val="MdStrong"/>
                <w:b/>
                <w:bCs/>
              </w:rPr>
              <w:t xml:space="preserve">PMS 465 C</w:t>
            </w:r>
          </w:p>
        </w:tc>
        <w:tc>
          <w:tcPr>
            <w:tcMar>
              <w:top w:type="dxa" w:w="80"/>
              <w:left w:type="dxa" w:w="120"/>
              <w:bottom w:type="dxa" w:w="80"/>
              <w:right w:type="dxa" w:w="120"/>
            </w:tcMar>
            <w:vAlign w:val="center"/>
          </w:tcPr>
          <w:p>
            <w:pPr>
              <w:pStyle w:val="MdTableCell"/>
            </w:pPr>
            <w:r>
              <w:rPr>
                <w:rStyle w:val="MdStrong"/>
                <w:b/>
                <w:bCs/>
              </w:rPr>
              <w:t xml:space="preserve">PMS 871 C metallic</w:t>
            </w:r>
            <w:r>
              <w:t xml:space="preserve">, warm foil, anodised/brushed metal, embroidery thread</w:t>
            </w:r>
          </w:p>
        </w:tc>
        <w:tc>
          <w:tcPr>
            <w:tcBorders>
              <w:right w:val="none"/>
            </w:tcBorders>
            <w:tcMar>
              <w:top w:type="dxa" w:w="80"/>
              <w:left w:type="dxa" w:w="120"/>
              <w:bottom w:type="dxa" w:w="80"/>
              <w:right w:type="dxa" w:w="120"/>
            </w:tcMar>
            <w:vAlign w:val="center"/>
          </w:tcPr>
          <w:p>
            <w:pPr>
              <w:pStyle w:val="MdTableCell"/>
            </w:pPr>
            <w:r>
              <w:t xml:space="preserve">Signature light-cut, selected detail, premium primary action on dark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Antique Bronze</w:t>
            </w:r>
          </w:p>
        </w:tc>
        <w:tc>
          <w:tcPr>
            <w:tcMar>
              <w:top w:type="dxa" w:w="80"/>
              <w:left w:type="dxa" w:w="120"/>
              <w:bottom w:type="dxa" w:w="80"/>
              <w:right w:type="dxa" w:w="120"/>
            </w:tcMar>
            <w:vAlign w:val="center"/>
          </w:tcPr>
          <w:p>
            <w:pPr>
              <w:pStyle w:val="MdTableCell"/>
              <w:jc w:val="right"/>
            </w:pPr>
            <w:r>
              <w:rPr>
                <w:rStyle w:val="MdCode"/>
                <w:u w:val="single"/>
              </w:rPr>
              <w:t xml:space="preserve">#806538</w:t>
            </w:r>
          </w:p>
        </w:tc>
        <w:tc>
          <w:tcPr>
            <w:tcMar>
              <w:top w:type="dxa" w:w="80"/>
              <w:left w:type="dxa" w:w="120"/>
              <w:bottom w:type="dxa" w:w="80"/>
              <w:right w:type="dxa" w:w="120"/>
            </w:tcMar>
            <w:vAlign w:val="center"/>
          </w:tcPr>
          <w:p>
            <w:pPr>
              <w:pStyle w:val="MdTableCell"/>
            </w:pPr>
            <w:r>
              <w:rPr>
                <w:rStyle w:val="MdStrong"/>
                <w:b/>
                <w:bCs/>
              </w:rPr>
              <w:t xml:space="preserve">PMS 464 C</w:t>
            </w:r>
          </w:p>
        </w:tc>
        <w:tc>
          <w:tcPr>
            <w:tcMar>
              <w:top w:type="dxa" w:w="80"/>
              <w:left w:type="dxa" w:w="120"/>
              <w:bottom w:type="dxa" w:w="80"/>
              <w:right w:type="dxa" w:w="120"/>
            </w:tcMar>
            <w:vAlign w:val="center"/>
          </w:tcPr>
          <w:p>
            <w:pPr>
              <w:pStyle w:val="MdTableCell"/>
            </w:pPr>
            <w:r>
              <w:rPr>
                <w:rStyle w:val="MdStrong"/>
                <w:b/>
                <w:bCs/>
              </w:rPr>
              <w:t xml:space="preserve">PMS 873 C metallic</w:t>
            </w:r>
            <w:r>
              <w:t xml:space="preserve">, aged-bronze finish</w:t>
            </w:r>
          </w:p>
        </w:tc>
        <w:tc>
          <w:tcPr>
            <w:tcBorders>
              <w:right w:val="none"/>
            </w:tcBorders>
            <w:tcMar>
              <w:top w:type="dxa" w:w="80"/>
              <w:left w:type="dxa" w:w="120"/>
              <w:bottom w:type="dxa" w:w="80"/>
              <w:right w:type="dxa" w:w="120"/>
            </w:tcMar>
            <w:vAlign w:val="center"/>
          </w:tcPr>
          <w:p>
            <w:pPr>
              <w:pStyle w:val="MdTableCell"/>
            </w:pPr>
            <w:r>
              <w:t xml:space="preserve">Decorative depth and physical hardware; not small body 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Porcelain</w:t>
            </w:r>
          </w:p>
        </w:tc>
        <w:tc>
          <w:tcPr>
            <w:tcMar>
              <w:top w:type="dxa" w:w="80"/>
              <w:left w:type="dxa" w:w="120"/>
              <w:bottom w:type="dxa" w:w="80"/>
              <w:right w:type="dxa" w:w="120"/>
            </w:tcMar>
            <w:vAlign w:val="center"/>
          </w:tcPr>
          <w:p>
            <w:pPr>
              <w:pStyle w:val="MdTableCell"/>
              <w:jc w:val="right"/>
            </w:pPr>
            <w:r>
              <w:rPr>
                <w:rStyle w:val="MdCode"/>
                <w:u w:val="single"/>
              </w:rPr>
              <w:t xml:space="preserve">#F4F0E8</w:t>
            </w:r>
          </w:p>
        </w:tc>
        <w:tc>
          <w:tcPr>
            <w:tcMar>
              <w:top w:type="dxa" w:w="80"/>
              <w:left w:type="dxa" w:w="120"/>
              <w:bottom w:type="dxa" w:w="80"/>
              <w:right w:type="dxa" w:w="120"/>
            </w:tcMar>
            <w:vAlign w:val="center"/>
          </w:tcPr>
          <w:p>
            <w:pPr>
              <w:pStyle w:val="MdTableCell"/>
            </w:pPr>
            <w:r>
              <w:t xml:space="preserve">Use warm-white substrate; if ink is unavoidable, compare </w:t>
            </w:r>
            <w:r>
              <w:rPr>
                <w:rStyle w:val="MdStrong"/>
                <w:b/>
                <w:bCs/>
              </w:rPr>
              <w:t xml:space="preserve">PMS 427 C</w:t>
            </w:r>
          </w:p>
        </w:tc>
        <w:tc>
          <w:tcPr>
            <w:tcMar>
              <w:top w:type="dxa" w:w="80"/>
              <w:left w:type="dxa" w:w="120"/>
              <w:bottom w:type="dxa" w:w="80"/>
              <w:right w:type="dxa" w:w="120"/>
            </w:tcMar>
            <w:vAlign w:val="center"/>
          </w:tcPr>
          <w:p>
            <w:pPr>
              <w:pStyle w:val="MdTableCell"/>
            </w:pPr>
            <w:r>
              <w:t xml:space="preserve">Warm-white paper, light vinyl, light UI surface</w:t>
            </w:r>
          </w:p>
        </w:tc>
        <w:tc>
          <w:tcPr>
            <w:tcBorders>
              <w:right w:val="none"/>
            </w:tcBorders>
            <w:tcMar>
              <w:top w:type="dxa" w:w="80"/>
              <w:left w:type="dxa" w:w="120"/>
              <w:bottom w:type="dxa" w:w="80"/>
              <w:right w:type="dxa" w:w="120"/>
            </w:tcMar>
            <w:vAlign w:val="center"/>
          </w:tcPr>
          <w:p>
            <w:pPr>
              <w:pStyle w:val="MdTableCell"/>
            </w:pPr>
            <w:r>
              <w:t xml:space="preserve">Primary dark-mode text, light reading surface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Stone</w:t>
            </w:r>
          </w:p>
        </w:tc>
        <w:tc>
          <w:tcPr>
            <w:tcMar>
              <w:top w:type="dxa" w:w="80"/>
              <w:left w:type="dxa" w:w="120"/>
              <w:bottom w:type="dxa" w:w="80"/>
              <w:right w:type="dxa" w:w="120"/>
            </w:tcMar>
            <w:vAlign w:val="center"/>
          </w:tcPr>
          <w:p>
            <w:pPr>
              <w:pStyle w:val="MdTableCell"/>
              <w:jc w:val="right"/>
            </w:pPr>
            <w:r>
              <w:rPr>
                <w:rStyle w:val="MdCode"/>
                <w:u w:val="single"/>
              </w:rPr>
              <w:t xml:space="preserve">#B8B2A8</w:t>
            </w:r>
          </w:p>
        </w:tc>
        <w:tc>
          <w:tcPr>
            <w:tcMar>
              <w:top w:type="dxa" w:w="80"/>
              <w:left w:type="dxa" w:w="120"/>
              <w:bottom w:type="dxa" w:w="80"/>
              <w:right w:type="dxa" w:w="120"/>
            </w:tcMar>
            <w:vAlign w:val="center"/>
          </w:tcPr>
          <w:p>
            <w:pPr>
              <w:pStyle w:val="MdTableCell"/>
            </w:pPr>
            <w:r>
              <w:rPr>
                <w:rStyle w:val="MdStrong"/>
                <w:b/>
                <w:bCs/>
              </w:rPr>
              <w:t xml:space="preserve">PMS 421 C</w:t>
            </w:r>
          </w:p>
        </w:tc>
        <w:tc>
          <w:tcPr>
            <w:tcMar>
              <w:top w:type="dxa" w:w="80"/>
              <w:left w:type="dxa" w:w="120"/>
              <w:bottom w:type="dxa" w:w="80"/>
              <w:right w:type="dxa" w:w="120"/>
            </w:tcMar>
            <w:vAlign w:val="center"/>
          </w:tcPr>
          <w:p>
            <w:pPr>
              <w:pStyle w:val="MdTableCell"/>
            </w:pPr>
            <w:r>
              <w:t xml:space="preserve">Warm-grey uncoated stock or thread</w:t>
            </w:r>
          </w:p>
        </w:tc>
        <w:tc>
          <w:tcPr>
            <w:tcBorders>
              <w:right w:val="none"/>
            </w:tcBorders>
            <w:tcMar>
              <w:top w:type="dxa" w:w="80"/>
              <w:left w:type="dxa" w:w="120"/>
              <w:bottom w:type="dxa" w:w="80"/>
              <w:right w:type="dxa" w:w="120"/>
            </w:tcMar>
            <w:vAlign w:val="center"/>
          </w:tcPr>
          <w:p>
            <w:pPr>
              <w:pStyle w:val="MdTableCell"/>
            </w:pPr>
            <w:r>
              <w:t xml:space="preserve">Secondary text, dividers and metadata on Obsidian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Operational Jade</w:t>
            </w:r>
          </w:p>
        </w:tc>
        <w:tc>
          <w:tcPr>
            <w:tcBorders>
              <w:bottom w:val="single" w:color="E1E4E8" w:sz="4"/>
            </w:tcBorders>
            <w:tcMar>
              <w:top w:type="dxa" w:w="80"/>
              <w:left w:type="dxa" w:w="120"/>
              <w:bottom w:type="dxa" w:w="80"/>
              <w:right w:type="dxa" w:w="120"/>
            </w:tcMar>
            <w:vAlign w:val="center"/>
          </w:tcPr>
          <w:p>
            <w:pPr>
              <w:pStyle w:val="MdTableCell"/>
              <w:jc w:val="right"/>
            </w:pPr>
            <w:r>
              <w:rPr>
                <w:rStyle w:val="MdCode"/>
                <w:u w:val="single"/>
              </w:rPr>
              <w:t xml:space="preserve">#70B89A</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PMS 563 C</w:t>
            </w:r>
          </w:p>
        </w:tc>
        <w:tc>
          <w:tcPr>
            <w:tcBorders>
              <w:bottom w:val="single" w:color="E1E4E8" w:sz="4"/>
            </w:tcBorders>
            <w:tcMar>
              <w:top w:type="dxa" w:w="80"/>
              <w:left w:type="dxa" w:w="120"/>
              <w:bottom w:type="dxa" w:w="80"/>
              <w:right w:type="dxa" w:w="120"/>
            </w:tcMar>
            <w:vAlign w:val="center"/>
          </w:tcPr>
          <w:p>
            <w:pPr>
              <w:pStyle w:val="MdTableCell"/>
            </w:pPr>
            <w:r>
              <w:t xml:space="preserve">Flat spot ink or woven status tab</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Confirmed, available or successful state; always pair with icon and label</w:t>
            </w:r>
          </w:p>
        </w:tc>
      </w:tr>
    </w:tbl>
    <w:p>
      <w:pPr>
        <w:pStyle w:val="MdParagraph"/>
      </w:pPr>
      <w:r>
        <w:rPr>
          <w:rStyle w:val="MdStrong"/>
          <w:b/>
          <w:bCs/>
        </w:rPr>
        <w:t xml:space="preserve">Production note:</w:t>
      </w:r>
      <w:r>
        <w:t xml:space="preserve"> PMS 871 C and PMS 873 C are metallic production options, not replacements for the digital gold and bronze HEX values. Metallic foil, metallic ink, brushed metal and embroidery produce different appearances and require separate approved samples.</w:t>
      </w:r>
    </w:p>
    <w:p>
      <w:pPr>
        <w:pStyle w:val="MdSpace"/>
        <w:spacing w:before="0" w:after="60"/>
      </w:pPr>
    </w:p>
    <w:p>
      <w:pPr>
        <w:pStyle w:val="Heading2"/>
        <w:pStyle w:val="MdHeading2"/>
      </w:pPr>
      <w:r>
        <w:t xml:space="preserve">3.3 Approved digital contrast pairings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Foreground</w:t>
            </w:r>
          </w:p>
        </w:tc>
        <w:tc>
          <w:tcPr>
            <w:tcMar>
              <w:top w:type="dxa" w:w="100"/>
              <w:left w:type="dxa" w:w="120"/>
              <w:bottom w:type="dxa" w:w="100"/>
              <w:right w:type="dxa" w:w="120"/>
            </w:tcMar>
            <w:vAlign w:val="center"/>
          </w:tcPr>
          <w:p>
            <w:pPr>
              <w:pStyle w:val="MdTableHeader"/>
            </w:pPr>
            <w:r>
              <w:t xml:space="preserve">Background</w:t>
            </w:r>
          </w:p>
        </w:tc>
        <w:tc>
          <w:tcPr>
            <w:tcMar>
              <w:top w:type="dxa" w:w="100"/>
              <w:left w:type="dxa" w:w="120"/>
              <w:bottom w:type="dxa" w:w="100"/>
              <w:right w:type="dxa" w:w="120"/>
            </w:tcMar>
            <w:vAlign w:val="center"/>
          </w:tcPr>
          <w:p>
            <w:pPr>
              <w:pStyle w:val="MdTableHeader"/>
              <w:jc w:val="right"/>
            </w:pPr>
            <w:r>
              <w:t xml:space="preserve">Contrast</w:t>
            </w:r>
          </w:p>
        </w:tc>
        <w:tc>
          <w:tcPr>
            <w:tcBorders>
              <w:right w:val="none"/>
            </w:tcBorders>
            <w:tcMar>
              <w:top w:type="dxa" w:w="100"/>
              <w:left w:type="dxa" w:w="120"/>
              <w:bottom w:type="dxa" w:w="100"/>
              <w:right w:type="dxa" w:w="120"/>
            </w:tcMar>
            <w:vAlign w:val="center"/>
          </w:tcPr>
          <w:p>
            <w:pPr>
              <w:pStyle w:val="MdTableHeader"/>
            </w:pPr>
            <w:r>
              <w:t xml:space="preserve">Approved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Porcelain </w:t>
            </w:r>
            <w:r>
              <w:rPr>
                <w:rStyle w:val="MdCode"/>
                <w:u w:val="single"/>
              </w:rPr>
              <w:t xml:space="preserve">#F4F0E8</w:t>
            </w:r>
          </w:p>
        </w:tc>
        <w:tc>
          <w:tcPr>
            <w:tcMar>
              <w:top w:type="dxa" w:w="80"/>
              <w:left w:type="dxa" w:w="120"/>
              <w:bottom w:type="dxa" w:w="80"/>
              <w:right w:type="dxa" w:w="120"/>
            </w:tcMar>
            <w:vAlign w:val="center"/>
          </w:tcPr>
          <w:p>
            <w:pPr>
              <w:pStyle w:val="MdTableCell"/>
            </w:pPr>
            <w:r>
              <w:t xml:space="preserve">Obsidian </w:t>
            </w:r>
            <w:r>
              <w:rPr>
                <w:rStyle w:val="MdCode"/>
                <w:u w:val="single"/>
              </w:rPr>
              <w:t xml:space="preserve">#0B0B0D</w:t>
            </w:r>
          </w:p>
        </w:tc>
        <w:tc>
          <w:tcPr>
            <w:tcMar>
              <w:top w:type="dxa" w:w="80"/>
              <w:left w:type="dxa" w:w="120"/>
              <w:bottom w:type="dxa" w:w="80"/>
              <w:right w:type="dxa" w:w="120"/>
            </w:tcMar>
            <w:vAlign w:val="center"/>
          </w:tcPr>
          <w:p>
            <w:pPr>
              <w:pStyle w:val="MdTableCell"/>
              <w:jc w:val="right"/>
            </w:pPr>
            <w:r>
              <w:rPr>
                <w:rStyle w:val="MdStrong"/>
                <w:b/>
                <w:bCs/>
              </w:rPr>
              <w:t xml:space="preserve">17.30:1</w:t>
            </w:r>
          </w:p>
        </w:tc>
        <w:tc>
          <w:tcPr>
            <w:tcBorders>
              <w:right w:val="none"/>
            </w:tcBorders>
            <w:tcMar>
              <w:top w:type="dxa" w:w="80"/>
              <w:left w:type="dxa" w:w="120"/>
              <w:bottom w:type="dxa" w:w="80"/>
              <w:right w:type="dxa" w:w="120"/>
            </w:tcMar>
            <w:vAlign w:val="center"/>
          </w:tcPr>
          <w:p>
            <w:pPr>
              <w:pStyle w:val="MdTableCell"/>
            </w:pPr>
            <w:r>
              <w:t xml:space="preserve">All text, icons and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Stone </w:t>
            </w:r>
            <w:r>
              <w:rPr>
                <w:rStyle w:val="MdCode"/>
                <w:u w:val="single"/>
              </w:rPr>
              <w:t xml:space="preserve">#B8B2A8</w:t>
            </w:r>
          </w:p>
        </w:tc>
        <w:tc>
          <w:tcPr>
            <w:tcMar>
              <w:top w:type="dxa" w:w="80"/>
              <w:left w:type="dxa" w:w="120"/>
              <w:bottom w:type="dxa" w:w="80"/>
              <w:right w:type="dxa" w:w="120"/>
            </w:tcMar>
            <w:vAlign w:val="center"/>
          </w:tcPr>
          <w:p>
            <w:pPr>
              <w:pStyle w:val="MdTableCell"/>
            </w:pPr>
            <w:r>
              <w:t xml:space="preserve">Obsidian </w:t>
            </w:r>
            <w:r>
              <w:rPr>
                <w:rStyle w:val="MdCode"/>
                <w:u w:val="single"/>
              </w:rPr>
              <w:t xml:space="preserve">#0B0B0D</w:t>
            </w:r>
          </w:p>
        </w:tc>
        <w:tc>
          <w:tcPr>
            <w:tcMar>
              <w:top w:type="dxa" w:w="80"/>
              <w:left w:type="dxa" w:w="120"/>
              <w:bottom w:type="dxa" w:w="80"/>
              <w:right w:type="dxa" w:w="120"/>
            </w:tcMar>
            <w:vAlign w:val="center"/>
          </w:tcPr>
          <w:p>
            <w:pPr>
              <w:pStyle w:val="MdTableCell"/>
              <w:jc w:val="right"/>
            </w:pPr>
            <w:r>
              <w:rPr>
                <w:rStyle w:val="MdStrong"/>
                <w:b/>
                <w:bCs/>
              </w:rPr>
              <w:t xml:space="preserve">9.34:1</w:t>
            </w:r>
          </w:p>
        </w:tc>
        <w:tc>
          <w:tcPr>
            <w:tcBorders>
              <w:right w:val="none"/>
            </w:tcBorders>
            <w:tcMar>
              <w:top w:type="dxa" w:w="80"/>
              <w:left w:type="dxa" w:w="120"/>
              <w:bottom w:type="dxa" w:w="80"/>
              <w:right w:type="dxa" w:w="120"/>
            </w:tcMar>
            <w:vAlign w:val="center"/>
          </w:tcPr>
          <w:p>
            <w:pPr>
              <w:pStyle w:val="MdTableCell"/>
            </w:pPr>
            <w:r>
              <w:t xml:space="preserve">Secondary text and metadata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Gold </w:t>
            </w:r>
            <w:r>
              <w:rPr>
                <w:rStyle w:val="MdCode"/>
                <w:u w:val="single"/>
              </w:rPr>
              <w:t xml:space="preserve">#C7A15A</w:t>
            </w:r>
          </w:p>
        </w:tc>
        <w:tc>
          <w:tcPr>
            <w:tcMar>
              <w:top w:type="dxa" w:w="80"/>
              <w:left w:type="dxa" w:w="120"/>
              <w:bottom w:type="dxa" w:w="80"/>
              <w:right w:type="dxa" w:w="120"/>
            </w:tcMar>
            <w:vAlign w:val="center"/>
          </w:tcPr>
          <w:p>
            <w:pPr>
              <w:pStyle w:val="MdTableCell"/>
            </w:pPr>
            <w:r>
              <w:t xml:space="preserve">Obsidian </w:t>
            </w:r>
            <w:r>
              <w:rPr>
                <w:rStyle w:val="MdCode"/>
                <w:u w:val="single"/>
              </w:rPr>
              <w:t xml:space="preserve">#0B0B0D</w:t>
            </w:r>
          </w:p>
        </w:tc>
        <w:tc>
          <w:tcPr>
            <w:tcMar>
              <w:top w:type="dxa" w:w="80"/>
              <w:left w:type="dxa" w:w="120"/>
              <w:bottom w:type="dxa" w:w="80"/>
              <w:right w:type="dxa" w:w="120"/>
            </w:tcMar>
            <w:vAlign w:val="center"/>
          </w:tcPr>
          <w:p>
            <w:pPr>
              <w:pStyle w:val="MdTableCell"/>
              <w:jc w:val="right"/>
            </w:pPr>
            <w:r>
              <w:rPr>
                <w:rStyle w:val="MdStrong"/>
                <w:b/>
                <w:bCs/>
              </w:rPr>
              <w:t xml:space="preserve">8.12:1</w:t>
            </w:r>
          </w:p>
        </w:tc>
        <w:tc>
          <w:tcPr>
            <w:tcBorders>
              <w:right w:val="none"/>
            </w:tcBorders>
            <w:tcMar>
              <w:top w:type="dxa" w:w="80"/>
              <w:left w:type="dxa" w:w="120"/>
              <w:bottom w:type="dxa" w:w="80"/>
              <w:right w:type="dxa" w:w="120"/>
            </w:tcMar>
            <w:vAlign w:val="center"/>
          </w:tcPr>
          <w:p>
            <w:pPr>
              <w:pStyle w:val="MdTableCell"/>
            </w:pPr>
            <w:r>
              <w:t xml:space="preserve">Labels, large display details and meaningful icons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Obsidian </w:t>
            </w:r>
            <w:r>
              <w:rPr>
                <w:rStyle w:val="MdCode"/>
                <w:u w:val="single"/>
              </w:rPr>
              <w:t xml:space="preserve">#0B0B0D</w:t>
            </w:r>
          </w:p>
        </w:tc>
        <w:tc>
          <w:tcPr>
            <w:tcMar>
              <w:top w:type="dxa" w:w="80"/>
              <w:left w:type="dxa" w:w="120"/>
              <w:bottom w:type="dxa" w:w="80"/>
              <w:right w:type="dxa" w:w="120"/>
            </w:tcMar>
            <w:vAlign w:val="center"/>
          </w:tcPr>
          <w:p>
            <w:pPr>
              <w:pStyle w:val="MdTableCell"/>
            </w:pPr>
            <w:r>
              <w:t xml:space="preserve">Gold </w:t>
            </w:r>
            <w:r>
              <w:rPr>
                <w:rStyle w:val="MdCode"/>
                <w:u w:val="single"/>
              </w:rPr>
              <w:t xml:space="preserve">#C7A15A</w:t>
            </w:r>
          </w:p>
        </w:tc>
        <w:tc>
          <w:tcPr>
            <w:tcMar>
              <w:top w:type="dxa" w:w="80"/>
              <w:left w:type="dxa" w:w="120"/>
              <w:bottom w:type="dxa" w:w="80"/>
              <w:right w:type="dxa" w:w="120"/>
            </w:tcMar>
            <w:vAlign w:val="center"/>
          </w:tcPr>
          <w:p>
            <w:pPr>
              <w:pStyle w:val="MdTableCell"/>
              <w:jc w:val="right"/>
            </w:pPr>
            <w:r>
              <w:rPr>
                <w:rStyle w:val="MdStrong"/>
                <w:b/>
                <w:bCs/>
              </w:rPr>
              <w:t xml:space="preserve">8.12:1</w:t>
            </w:r>
          </w:p>
        </w:tc>
        <w:tc>
          <w:tcPr>
            <w:tcBorders>
              <w:right w:val="none"/>
            </w:tcBorders>
            <w:tcMar>
              <w:top w:type="dxa" w:w="80"/>
              <w:left w:type="dxa" w:w="120"/>
              <w:bottom w:type="dxa" w:w="80"/>
              <w:right w:type="dxa" w:w="120"/>
            </w:tcMar>
            <w:vAlign w:val="center"/>
          </w:tcPr>
          <w:p>
            <w:pPr>
              <w:pStyle w:val="MdTableCell"/>
            </w:pPr>
            <w:r>
              <w:t xml:space="preserve">Primary button text and icons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Jade </w:t>
            </w:r>
            <w:r>
              <w:rPr>
                <w:rStyle w:val="MdCode"/>
                <w:u w:val="single"/>
              </w:rPr>
              <w:t xml:space="preserve">#70B89A</w:t>
            </w:r>
          </w:p>
        </w:tc>
        <w:tc>
          <w:tcPr>
            <w:tcMar>
              <w:top w:type="dxa" w:w="80"/>
              <w:left w:type="dxa" w:w="120"/>
              <w:bottom w:type="dxa" w:w="80"/>
              <w:right w:type="dxa" w:w="120"/>
            </w:tcMar>
            <w:vAlign w:val="center"/>
          </w:tcPr>
          <w:p>
            <w:pPr>
              <w:pStyle w:val="MdTableCell"/>
            </w:pPr>
            <w:r>
              <w:t xml:space="preserve">Obsidian </w:t>
            </w:r>
            <w:r>
              <w:rPr>
                <w:rStyle w:val="MdCode"/>
                <w:u w:val="single"/>
              </w:rPr>
              <w:t xml:space="preserve">#0B0B0D</w:t>
            </w:r>
          </w:p>
        </w:tc>
        <w:tc>
          <w:tcPr>
            <w:tcMar>
              <w:top w:type="dxa" w:w="80"/>
              <w:left w:type="dxa" w:w="120"/>
              <w:bottom w:type="dxa" w:w="80"/>
              <w:right w:type="dxa" w:w="120"/>
            </w:tcMar>
            <w:vAlign w:val="center"/>
          </w:tcPr>
          <w:p>
            <w:pPr>
              <w:pStyle w:val="MdTableCell"/>
              <w:jc w:val="right"/>
            </w:pPr>
            <w:r>
              <w:rPr>
                <w:rStyle w:val="MdStrong"/>
                <w:b/>
                <w:bCs/>
              </w:rPr>
              <w:t xml:space="preserve">8.44:1</w:t>
            </w:r>
          </w:p>
        </w:tc>
        <w:tc>
          <w:tcPr>
            <w:tcBorders>
              <w:right w:val="none"/>
            </w:tcBorders>
            <w:tcMar>
              <w:top w:type="dxa" w:w="80"/>
              <w:left w:type="dxa" w:w="120"/>
              <w:bottom w:type="dxa" w:w="80"/>
              <w:right w:type="dxa" w:w="120"/>
            </w:tcMar>
            <w:vAlign w:val="center"/>
          </w:tcPr>
          <w:p>
            <w:pPr>
              <w:pStyle w:val="MdTableCell"/>
            </w:pPr>
            <w:r>
              <w:t xml:space="preserve">Status text and graphics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Bronze </w:t>
            </w:r>
            <w:r>
              <w:rPr>
                <w:rStyle w:val="MdCode"/>
                <w:u w:val="single"/>
              </w:rPr>
              <w:t xml:space="preserve">#806538</w:t>
            </w:r>
          </w:p>
        </w:tc>
        <w:tc>
          <w:tcPr>
            <w:tcMar>
              <w:top w:type="dxa" w:w="80"/>
              <w:left w:type="dxa" w:w="120"/>
              <w:bottom w:type="dxa" w:w="80"/>
              <w:right w:type="dxa" w:w="120"/>
            </w:tcMar>
            <w:vAlign w:val="center"/>
          </w:tcPr>
          <w:p>
            <w:pPr>
              <w:pStyle w:val="MdTableCell"/>
            </w:pPr>
            <w:r>
              <w:t xml:space="preserve">Obsidian </w:t>
            </w:r>
            <w:r>
              <w:rPr>
                <w:rStyle w:val="MdCode"/>
                <w:u w:val="single"/>
              </w:rPr>
              <w:t xml:space="preserve">#0B0B0D</w:t>
            </w:r>
          </w:p>
        </w:tc>
        <w:tc>
          <w:tcPr>
            <w:tcMar>
              <w:top w:type="dxa" w:w="80"/>
              <w:left w:type="dxa" w:w="120"/>
              <w:bottom w:type="dxa" w:w="80"/>
              <w:right w:type="dxa" w:w="120"/>
            </w:tcMar>
            <w:vAlign w:val="center"/>
          </w:tcPr>
          <w:p>
            <w:pPr>
              <w:pStyle w:val="MdTableCell"/>
              <w:jc w:val="right"/>
            </w:pPr>
            <w:r>
              <w:rPr>
                <w:rStyle w:val="MdStrong"/>
                <w:b/>
                <w:bCs/>
              </w:rPr>
              <w:t xml:space="preserve">3.59:1</w:t>
            </w:r>
          </w:p>
        </w:tc>
        <w:tc>
          <w:tcPr>
            <w:tcBorders>
              <w:right w:val="none"/>
            </w:tcBorders>
            <w:tcMar>
              <w:top w:type="dxa" w:w="80"/>
              <w:left w:type="dxa" w:w="120"/>
              <w:bottom w:type="dxa" w:w="80"/>
              <w:right w:type="dxa" w:w="120"/>
            </w:tcMar>
            <w:vAlign w:val="center"/>
          </w:tcPr>
          <w:p>
            <w:pPr>
              <w:pStyle w:val="MdTableCell"/>
            </w:pPr>
            <w:r>
              <w:t xml:space="preserve">Large text or meaningful graphics only; not normal text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White </w:t>
            </w:r>
            <w:r>
              <w:rPr>
                <w:rStyle w:val="MdCode"/>
                <w:u w:val="single"/>
              </w:rPr>
              <w:t xml:space="preserve">#FFFFFF</w:t>
            </w:r>
          </w:p>
        </w:tc>
        <w:tc>
          <w:tcPr>
            <w:tcBorders>
              <w:bottom w:val="single" w:color="E1E4E8" w:sz="4"/>
            </w:tcBorders>
            <w:tcMar>
              <w:top w:type="dxa" w:w="80"/>
              <w:left w:type="dxa" w:w="120"/>
              <w:bottom w:type="dxa" w:w="80"/>
              <w:right w:type="dxa" w:w="120"/>
            </w:tcMar>
            <w:vAlign w:val="center"/>
          </w:tcPr>
          <w:p>
            <w:pPr>
              <w:pStyle w:val="MdTableCell"/>
            </w:pPr>
            <w:r>
              <w:t xml:space="preserve">Gold </w:t>
            </w:r>
            <w:r>
              <w:rPr>
                <w:rStyle w:val="MdCode"/>
                <w:u w:val="single"/>
              </w:rPr>
              <w:t xml:space="preserve">#C7A15A</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2.42:1</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Prohibited</w:t>
            </w:r>
            <w:r>
              <w:t xml:space="preserve"> for text and functional icons</w:t>
            </w:r>
          </w:p>
        </w:tc>
      </w:tr>
    </w:tbl>
    <w:p>
      <w:pPr>
        <w:pStyle w:val="Heading2"/>
        <w:pStyle w:val="MdHeading2"/>
      </w:pPr>
      <w:r>
        <w:t xml:space="preserve">3.4 Theme allocation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Context</w:t>
            </w:r>
          </w:p>
        </w:tc>
        <w:tc>
          <w:tcPr>
            <w:tcBorders>
              <w:right w:val="none"/>
            </w:tcBorders>
            <w:tcMar>
              <w:top w:type="dxa" w:w="100"/>
              <w:left w:type="dxa" w:w="120"/>
              <w:bottom w:type="dxa" w:w="100"/>
              <w:right w:type="dxa" w:w="120"/>
            </w:tcMar>
            <w:vAlign w:val="center"/>
          </w:tcPr>
          <w:p>
            <w:pPr>
              <w:pStyle w:val="MdTableHeader"/>
            </w:pPr>
            <w:r>
              <w:t xml:space="preserve">Recommended visual ratio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Great Wall marketing and booking</w:t>
            </w:r>
          </w:p>
        </w:tc>
        <w:tc>
          <w:tcPr>
            <w:tcBorders>
              <w:right w:val="none"/>
            </w:tcBorders>
            <w:tcMar>
              <w:top w:type="dxa" w:w="80"/>
              <w:left w:type="dxa" w:w="120"/>
              <w:bottom w:type="dxa" w:w="80"/>
              <w:right w:type="dxa" w:w="120"/>
            </w:tcMar>
            <w:vAlign w:val="center"/>
          </w:tcPr>
          <w:p>
            <w:pPr>
              <w:pStyle w:val="MdTableCell"/>
            </w:pPr>
            <w:r>
              <w:t xml:space="preserve">55–70% Obsidian/Graphite, 20–30% Porcelain content, 5–10% gold, less than 5% status colors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Eagle Star public website</w:t>
            </w:r>
          </w:p>
        </w:tc>
        <w:tc>
          <w:tcPr>
            <w:tcBorders>
              <w:right w:val="none"/>
            </w:tcBorders>
            <w:tcMar>
              <w:top w:type="dxa" w:w="80"/>
              <w:left w:type="dxa" w:w="120"/>
              <w:bottom w:type="dxa" w:w="80"/>
              <w:right w:type="dxa" w:w="120"/>
            </w:tcMar>
            <w:vAlign w:val="center"/>
          </w:tcPr>
          <w:p>
            <w:pPr>
              <w:pStyle w:val="MdTableCell"/>
            </w:pPr>
            <w:r>
              <w:t xml:space="preserve">45–55% Porcelain, 25–35% Obsidian/Graphite, 5–8% gold, 5–10% status/utility colors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Eagle Star portal or operational flow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65–80% Porcelain/light neutral, 15–25% Graphite/Obsidian, less than 5% gold</w:t>
            </w:r>
          </w:p>
        </w:tc>
      </w:tr>
    </w:tbl>
    <w:p>
      <w:pPr>
        <w:pStyle w:val="Heading2"/>
        <w:pStyle w:val="MdHeading2"/>
      </w:pPr>
      <w:r>
        <w:t xml:space="preserve">3.5 Component guidelines</w:t>
      </w:r>
    </w:p>
    <w:p>
      <w:pPr>
        <w:pStyle w:val="Heading3"/>
        <w:pStyle w:val="MdHeading3"/>
      </w:pPr>
      <w:r>
        <w:t xml:space="preserve">Global navigation</w:t>
      </w:r>
    </w:p>
    <w:p>
      <w:pPr>
        <w:pStyle w:val="MdParagraph"/>
      </w:pPr>
      <w:r>
        <w:t xml:space="preserve">The desktop header is 72 px high; mobile is 64 px. Use Obsidian or Graphite with Porcelain labels. The active destination uses a </w:t>
      </w:r>
      <w:r>
        <w:rPr>
          <w:rStyle w:val="MdStrong"/>
          <w:b/>
          <w:bCs/>
        </w:rPr>
        <w:t xml:space="preserve">2 px gold light-cut below the label</w:t>
      </w:r>
      <w:r>
        <w:t xml:space="preserve">, while the label remains Porcelain. Navigation should not rely on gold text alone to indicate selection. Mobile menus open as a full-height Graphite drawer with a visible close control, focus trap and body-scroll lock.</w:t>
      </w:r>
    </w:p>
    <w:p>
      <w:pPr>
        <w:pStyle w:val="MdSpace"/>
        <w:spacing w:before="0" w:after="60"/>
      </w:pPr>
    </w:p>
    <w:p>
      <w:pPr>
        <w:pStyle w:val="MdParagraph"/>
      </w:pPr>
      <w:r>
        <w:t xml:space="preserve">Great Wall navigation may remain dark throughout the journey. Eagle Star should switch to a Porcelain content header or breadcrumb bar on reading-heavy and operational pages.</w:t>
      </w:r>
    </w:p>
    <w:p>
      <w:pPr>
        <w:pStyle w:val="MdSpace"/>
        <w:spacing w:before="0" w:after="60"/>
      </w:pPr>
    </w:p>
    <w:p>
      <w:pPr>
        <w:pStyle w:val="Heading3"/>
        <w:pStyle w:val="MdHeading3"/>
      </w:pPr>
      <w:r>
        <w:t xml:space="preserve">Buttons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Variant</w:t>
            </w:r>
          </w:p>
        </w:tc>
        <w:tc>
          <w:tcPr>
            <w:tcMar>
              <w:top w:type="dxa" w:w="100"/>
              <w:left w:type="dxa" w:w="120"/>
              <w:bottom w:type="dxa" w:w="100"/>
              <w:right w:type="dxa" w:w="120"/>
            </w:tcMar>
            <w:vAlign w:val="center"/>
          </w:tcPr>
          <w:p>
            <w:pPr>
              <w:pStyle w:val="MdTableHeader"/>
            </w:pPr>
            <w:r>
              <w:t xml:space="preserve">Default</w:t>
            </w:r>
          </w:p>
        </w:tc>
        <w:tc>
          <w:tcPr>
            <w:tcMar>
              <w:top w:type="dxa" w:w="100"/>
              <w:left w:type="dxa" w:w="120"/>
              <w:bottom w:type="dxa" w:w="100"/>
              <w:right w:type="dxa" w:w="120"/>
            </w:tcMar>
            <w:vAlign w:val="center"/>
          </w:tcPr>
          <w:p>
            <w:pPr>
              <w:pStyle w:val="MdTableHeader"/>
            </w:pPr>
            <w:r>
              <w:t xml:space="preserve">Hover</w:t>
            </w:r>
          </w:p>
        </w:tc>
        <w:tc>
          <w:tcPr>
            <w:tcMar>
              <w:top w:type="dxa" w:w="100"/>
              <w:left w:type="dxa" w:w="120"/>
              <w:bottom w:type="dxa" w:w="100"/>
              <w:right w:type="dxa" w:w="120"/>
            </w:tcMar>
            <w:vAlign w:val="center"/>
          </w:tcPr>
          <w:p>
            <w:pPr>
              <w:pStyle w:val="MdTableHeader"/>
            </w:pPr>
            <w:r>
              <w:t xml:space="preserve">Pressed</w:t>
            </w:r>
          </w:p>
        </w:tc>
        <w:tc>
          <w:tcPr>
            <w:tcBorders>
              <w:right w:val="none"/>
            </w:tcBorders>
            <w:tcMar>
              <w:top w:type="dxa" w:w="100"/>
              <w:left w:type="dxa" w:w="120"/>
              <w:bottom w:type="dxa" w:w="100"/>
              <w:right w:type="dxa" w:w="120"/>
            </w:tcMar>
            <w:vAlign w:val="center"/>
          </w:tcPr>
          <w:p>
            <w:pPr>
              <w:pStyle w:val="MdTableHeader"/>
            </w:pPr>
            <w:r>
              <w:t xml:space="preserve">Focus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w:t>
            </w:r>
          </w:p>
        </w:tc>
        <w:tc>
          <w:tcPr>
            <w:tcMar>
              <w:top w:type="dxa" w:w="80"/>
              <w:left w:type="dxa" w:w="120"/>
              <w:bottom w:type="dxa" w:w="80"/>
              <w:right w:type="dxa" w:w="120"/>
            </w:tcMar>
            <w:vAlign w:val="center"/>
          </w:tcPr>
          <w:p>
            <w:pPr>
              <w:pStyle w:val="MdTableCell"/>
            </w:pPr>
            <w:r>
              <w:t xml:space="preserve">Gold fill; Obsidian text/icon</w:t>
            </w:r>
          </w:p>
        </w:tc>
        <w:tc>
          <w:tcPr>
            <w:tcMar>
              <w:top w:type="dxa" w:w="80"/>
              <w:left w:type="dxa" w:w="120"/>
              <w:bottom w:type="dxa" w:w="80"/>
              <w:right w:type="dxa" w:w="120"/>
            </w:tcMar>
            <w:vAlign w:val="center"/>
          </w:tcPr>
          <w:p>
            <w:pPr>
              <w:pStyle w:val="MdTableCell"/>
            </w:pPr>
            <w:r>
              <w:t xml:space="preserve">Increase lightness slightly; no glow</w:t>
            </w:r>
          </w:p>
        </w:tc>
        <w:tc>
          <w:tcPr>
            <w:tcMar>
              <w:top w:type="dxa" w:w="80"/>
              <w:left w:type="dxa" w:w="120"/>
              <w:bottom w:type="dxa" w:w="80"/>
              <w:right w:type="dxa" w:w="120"/>
            </w:tcMar>
            <w:vAlign w:val="center"/>
          </w:tcPr>
          <w:p>
            <w:pPr>
              <w:pStyle w:val="MdTableCell"/>
            </w:pPr>
            <w:r>
              <w:t xml:space="preserve">Darken gold; 1 px inset state</w:t>
            </w:r>
          </w:p>
        </w:tc>
        <w:tc>
          <w:tcPr>
            <w:tcBorders>
              <w:right w:val="none"/>
            </w:tcBorders>
            <w:tcMar>
              <w:top w:type="dxa" w:w="80"/>
              <w:left w:type="dxa" w:w="120"/>
              <w:bottom w:type="dxa" w:w="80"/>
              <w:right w:type="dxa" w:w="120"/>
            </w:tcMar>
            <w:vAlign w:val="center"/>
          </w:tcPr>
          <w:p>
            <w:pPr>
              <w:pStyle w:val="MdTableCell"/>
            </w:pPr>
            <w:r>
              <w:t xml:space="preserve">2 px Porcelain outline, 2 px offset on dark; Obsidian outline on light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Secondary dark</w:t>
            </w:r>
          </w:p>
        </w:tc>
        <w:tc>
          <w:tcPr>
            <w:tcMar>
              <w:top w:type="dxa" w:w="80"/>
              <w:left w:type="dxa" w:w="120"/>
              <w:bottom w:type="dxa" w:w="80"/>
              <w:right w:type="dxa" w:w="120"/>
            </w:tcMar>
            <w:vAlign w:val="center"/>
          </w:tcPr>
          <w:p>
            <w:pPr>
              <w:pStyle w:val="MdTableCell"/>
            </w:pPr>
            <w:r>
              <w:t xml:space="preserve">Transparent; 1 px Stone border; Porcelain text</w:t>
            </w:r>
          </w:p>
        </w:tc>
        <w:tc>
          <w:tcPr>
            <w:tcMar>
              <w:top w:type="dxa" w:w="80"/>
              <w:left w:type="dxa" w:w="120"/>
              <w:bottom w:type="dxa" w:w="80"/>
              <w:right w:type="dxa" w:w="120"/>
            </w:tcMar>
            <w:vAlign w:val="center"/>
          </w:tcPr>
          <w:p>
            <w:pPr>
              <w:pStyle w:val="MdTableCell"/>
            </w:pPr>
            <w:r>
              <w:t xml:space="preserve">Graphite fill</w:t>
            </w:r>
          </w:p>
        </w:tc>
        <w:tc>
          <w:tcPr>
            <w:tcMar>
              <w:top w:type="dxa" w:w="80"/>
              <w:left w:type="dxa" w:w="120"/>
              <w:bottom w:type="dxa" w:w="80"/>
              <w:right w:type="dxa" w:w="120"/>
            </w:tcMar>
            <w:vAlign w:val="center"/>
          </w:tcPr>
          <w:p>
            <w:pPr>
              <w:pStyle w:val="MdTableCell"/>
            </w:pPr>
            <w:r>
              <w:t xml:space="preserve">Obsidian fill with 2 px Stone border</w:t>
            </w:r>
          </w:p>
        </w:tc>
        <w:tc>
          <w:tcPr>
            <w:tcBorders>
              <w:right w:val="none"/>
            </w:tcBorders>
            <w:tcMar>
              <w:top w:type="dxa" w:w="80"/>
              <w:left w:type="dxa" w:w="120"/>
              <w:bottom w:type="dxa" w:w="80"/>
              <w:right w:type="dxa" w:w="120"/>
            </w:tcMar>
            <w:vAlign w:val="center"/>
          </w:tcPr>
          <w:p>
            <w:pPr>
              <w:pStyle w:val="MdTableCell"/>
            </w:pPr>
            <w:r>
              <w:t xml:space="preserve">Same focus rule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Secondary light</w:t>
            </w:r>
          </w:p>
        </w:tc>
        <w:tc>
          <w:tcPr>
            <w:tcMar>
              <w:top w:type="dxa" w:w="80"/>
              <w:left w:type="dxa" w:w="120"/>
              <w:bottom w:type="dxa" w:w="80"/>
              <w:right w:type="dxa" w:w="120"/>
            </w:tcMar>
            <w:vAlign w:val="center"/>
          </w:tcPr>
          <w:p>
            <w:pPr>
              <w:pStyle w:val="MdTableCell"/>
            </w:pPr>
            <w:r>
              <w:t xml:space="preserve">Porcelain fill; 1 px Obsidian border; Obsidian text</w:t>
            </w:r>
          </w:p>
        </w:tc>
        <w:tc>
          <w:tcPr>
            <w:tcMar>
              <w:top w:type="dxa" w:w="80"/>
              <w:left w:type="dxa" w:w="120"/>
              <w:bottom w:type="dxa" w:w="80"/>
              <w:right w:type="dxa" w:w="120"/>
            </w:tcMar>
            <w:vAlign w:val="center"/>
          </w:tcPr>
          <w:p>
            <w:pPr>
              <w:pStyle w:val="MdTableCell"/>
            </w:pPr>
            <w:r>
              <w:t xml:space="preserve">Warm Stone tint</w:t>
            </w:r>
          </w:p>
        </w:tc>
        <w:tc>
          <w:tcPr>
            <w:tcMar>
              <w:top w:type="dxa" w:w="80"/>
              <w:left w:type="dxa" w:w="120"/>
              <w:bottom w:type="dxa" w:w="80"/>
              <w:right w:type="dxa" w:w="120"/>
            </w:tcMar>
            <w:vAlign w:val="center"/>
          </w:tcPr>
          <w:p>
            <w:pPr>
              <w:pStyle w:val="MdTableCell"/>
            </w:pPr>
            <w:r>
              <w:t xml:space="preserve">Stone tint</w:t>
            </w:r>
          </w:p>
        </w:tc>
        <w:tc>
          <w:tcPr>
            <w:tcBorders>
              <w:right w:val="none"/>
            </w:tcBorders>
            <w:tcMar>
              <w:top w:type="dxa" w:w="80"/>
              <w:left w:type="dxa" w:w="120"/>
              <w:bottom w:type="dxa" w:w="80"/>
              <w:right w:type="dxa" w:w="120"/>
            </w:tcMar>
            <w:vAlign w:val="center"/>
          </w:tcPr>
          <w:p>
            <w:pPr>
              <w:pStyle w:val="MdTableCell"/>
            </w:pPr>
            <w:r>
              <w:t xml:space="preserve">2 px Obsidian outline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Tertiary</w:t>
            </w:r>
          </w:p>
        </w:tc>
        <w:tc>
          <w:tcPr>
            <w:tcMar>
              <w:top w:type="dxa" w:w="80"/>
              <w:left w:type="dxa" w:w="120"/>
              <w:bottom w:type="dxa" w:w="80"/>
              <w:right w:type="dxa" w:w="120"/>
            </w:tcMar>
            <w:vAlign w:val="center"/>
          </w:tcPr>
          <w:p>
            <w:pPr>
              <w:pStyle w:val="MdTableCell"/>
            </w:pPr>
            <w:r>
              <w:t xml:space="preserve">Text link plus directional icon</w:t>
            </w:r>
          </w:p>
        </w:tc>
        <w:tc>
          <w:tcPr>
            <w:tcMar>
              <w:top w:type="dxa" w:w="80"/>
              <w:left w:type="dxa" w:w="120"/>
              <w:bottom w:type="dxa" w:w="80"/>
              <w:right w:type="dxa" w:w="120"/>
            </w:tcMar>
            <w:vAlign w:val="center"/>
          </w:tcPr>
          <w:p>
            <w:pPr>
              <w:pStyle w:val="MdTableCell"/>
            </w:pPr>
            <w:r>
              <w:t xml:space="preserve">Underline or light-cut extends</w:t>
            </w:r>
          </w:p>
        </w:tc>
        <w:tc>
          <w:tcPr>
            <w:tcMar>
              <w:top w:type="dxa" w:w="80"/>
              <w:left w:type="dxa" w:w="120"/>
              <w:bottom w:type="dxa" w:w="80"/>
              <w:right w:type="dxa" w:w="120"/>
            </w:tcMar>
            <w:vAlign w:val="center"/>
          </w:tcPr>
          <w:p>
            <w:pPr>
              <w:pStyle w:val="MdTableCell"/>
            </w:pPr>
            <w:r>
              <w:t xml:space="preserve">No positional jump</w:t>
            </w:r>
          </w:p>
        </w:tc>
        <w:tc>
          <w:tcPr>
            <w:tcBorders>
              <w:right w:val="none"/>
            </w:tcBorders>
            <w:tcMar>
              <w:top w:type="dxa" w:w="80"/>
              <w:left w:type="dxa" w:w="120"/>
              <w:bottom w:type="dxa" w:w="80"/>
              <w:right w:type="dxa" w:w="120"/>
            </w:tcMar>
            <w:vAlign w:val="center"/>
          </w:tcPr>
          <w:p>
            <w:pPr>
              <w:pStyle w:val="MdTableCell"/>
            </w:pPr>
            <w:r>
              <w:t xml:space="preserve">Full 2 px focus perimeter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Destructive</w:t>
            </w:r>
          </w:p>
        </w:tc>
        <w:tc>
          <w:tcPr>
            <w:tcBorders>
              <w:bottom w:val="single" w:color="E1E4E8" w:sz="4"/>
            </w:tcBorders>
            <w:tcMar>
              <w:top w:type="dxa" w:w="80"/>
              <w:left w:type="dxa" w:w="120"/>
              <w:bottom w:type="dxa" w:w="80"/>
              <w:right w:type="dxa" w:w="120"/>
            </w:tcMar>
            <w:vAlign w:val="center"/>
          </w:tcPr>
          <w:p>
            <w:pPr>
              <w:pStyle w:val="MdTableCell"/>
            </w:pPr>
            <w:r>
              <w:t xml:space="preserve">Dedicated error fill or outline; never gold</w:t>
            </w:r>
          </w:p>
        </w:tc>
        <w:tc>
          <w:tcPr>
            <w:tcBorders>
              <w:bottom w:val="single" w:color="E1E4E8" w:sz="4"/>
            </w:tcBorders>
            <w:tcMar>
              <w:top w:type="dxa" w:w="80"/>
              <w:left w:type="dxa" w:w="120"/>
              <w:bottom w:type="dxa" w:w="80"/>
              <w:right w:type="dxa" w:w="120"/>
            </w:tcMar>
            <w:vAlign w:val="center"/>
          </w:tcPr>
          <w:p>
            <w:pPr>
              <w:pStyle w:val="MdTableCell"/>
            </w:pPr>
            <w:r>
              <w:t xml:space="preserve">Darker error state</w:t>
            </w:r>
          </w:p>
        </w:tc>
        <w:tc>
          <w:tcPr>
            <w:tcBorders>
              <w:bottom w:val="single" w:color="E1E4E8" w:sz="4"/>
            </w:tcBorders>
            <w:tcMar>
              <w:top w:type="dxa" w:w="80"/>
              <w:left w:type="dxa" w:w="120"/>
              <w:bottom w:type="dxa" w:w="80"/>
              <w:right w:type="dxa" w:w="120"/>
            </w:tcMar>
            <w:vAlign w:val="center"/>
          </w:tcPr>
          <w:p>
            <w:pPr>
              <w:pStyle w:val="MdTableCell"/>
            </w:pPr>
            <w:r>
              <w:t xml:space="preserve">Stronger border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Porcelain or Obsidian focus ring by surface</w:t>
            </w:r>
          </w:p>
        </w:tc>
      </w:tr>
    </w:tbl>
    <w:p>
      <w:pPr>
        <w:pStyle w:val="MdParagraph"/>
      </w:pPr>
      <w:r>
        <w:t xml:space="preserve">Buttons use Manrope 600, sentence case, 14–16 px. Primary and secondary buttons are 48 px high, with 16–20 px horizontal padding and a maximum 4 px radius. Do not use gradients, bevels, glow effects or animated metallic sweeps on functional buttons.</w:t>
      </w:r>
    </w:p>
    <w:p>
      <w:pPr>
        <w:pStyle w:val="MdSpace"/>
        <w:spacing w:before="0" w:after="60"/>
      </w:pPr>
    </w:p>
    <w:p>
      <w:pPr>
        <w:pStyle w:val="Heading3"/>
        <w:pStyle w:val="MdHeading3"/>
      </w:pPr>
      <w:r>
        <w:t xml:space="preserve">Links</w:t>
      </w:r>
    </w:p>
    <w:p>
      <w:pPr>
        <w:pStyle w:val="MdParagraph"/>
      </w:pPr>
      <w:r>
        <w:t xml:space="preserve">Inline links use the same text color as the surrounding paragraph plus a persistent underline. Gold may be used for standalone dark-surface links because it achieves 8.12:1 on Obsidian, but it must retain an underline or directional icon. Visited, hover and focus states cannot be communicated through hue alone.</w:t>
      </w:r>
    </w:p>
    <w:p>
      <w:pPr>
        <w:pStyle w:val="MdSpace"/>
        <w:spacing w:before="0" w:after="60"/>
      </w:pPr>
    </w:p>
    <w:p>
      <w:pPr>
        <w:pStyle w:val="Heading3"/>
        <w:pStyle w:val="MdHeading3"/>
      </w:pPr>
      <w:r>
        <w:t xml:space="preserve">Text inputs, selects and text areas</w:t>
      </w:r>
    </w:p>
    <w:p>
      <w:pPr>
        <w:pStyle w:val="MdParagraph"/>
      </w:pPr>
      <w:r>
        <w:t xml:space="preserve">Dark-mode fields use Graphite fill, Porcelain text and a 1 px Stone border. Light-mode fields use Porcelain fill, Obsidian text and a 1 px Graphite border. Labels remain permanently visible above the field; placeholder-only labeling is prohibited. Focus changes the border to 2 px Gold and adds a separate 2 px focus perimeter. Error states use an error icon, written message and 2 px error border. Success validation is shown only when it benefits the task; use Jade plus a check icon and written confirmation.</w:t>
      </w:r>
    </w:p>
    <w:p>
      <w:pPr>
        <w:pStyle w:val="MdSpace"/>
        <w:spacing w:before="0" w:after="60"/>
      </w:pPr>
    </w:p>
    <w:p>
      <w:pPr>
        <w:pStyle w:val="MdParagraph"/>
      </w:pPr>
      <w:r>
        <w:t xml:space="preserve">Search inputs should include a visible submit action on mobile rather than relying solely on the keyboard action. Password inputs require a text-labelled show/hide control. Select menus must support keyboard operation and cannot encode disabled or selected options through opacity alone.</w:t>
      </w:r>
    </w:p>
    <w:p>
      <w:pPr>
        <w:pStyle w:val="MdSpace"/>
        <w:spacing w:before="0" w:after="60"/>
      </w:pPr>
    </w:p>
    <w:p>
      <w:pPr>
        <w:pStyle w:val="Heading3"/>
        <w:pStyle w:val="MdHeading3"/>
      </w:pPr>
      <w:r>
        <w:t xml:space="preserve">Checkboxes, radios, switches and segmented controls</w:t>
      </w:r>
    </w:p>
    <w:p>
      <w:pPr>
        <w:pStyle w:val="MdParagraph"/>
      </w:pPr>
      <w:r>
        <w:t xml:space="preserve">Unchecked controls use a 2 px Stone or Graphite boundary. Checked controls may use Gold fill with an Obsidian checkmark. A selected radio uses both the inner mark and a label-weight change. Switches require written state labels where ambiguity is possible. Segmented controls use a Graphite group surface; the selected segment uses Gold fill with Obsidian text, while focus remains a separate perimeter.</w:t>
      </w:r>
    </w:p>
    <w:p>
      <w:pPr>
        <w:pStyle w:val="MdSpace"/>
        <w:spacing w:before="0" w:after="60"/>
      </w:pPr>
    </w:p>
    <w:p>
      <w:pPr>
        <w:pStyle w:val="Heading3"/>
        <w:pStyle w:val="MdHeading3"/>
      </w:pPr>
      <w:r>
        <w:t xml:space="preserve">Cards and content modules</w:t>
      </w:r>
    </w:p>
    <w:p>
      <w:pPr>
        <w:pStyle w:val="MdParagraph"/>
      </w:pPr>
      <w:r>
        <w:t xml:space="preserve">Use tonal elevation: Graphite cards on Obsidian, or Porcelain cards on a warm light surface. Standard cards have a 1 px border and no shadow. Apply the gold light-cut to </w:t>
      </w:r>
      <w:r>
        <w:rPr>
          <w:rStyle w:val="MdStrong"/>
          <w:b/>
          <w:bCs/>
        </w:rPr>
        <w:t xml:space="preserve">one edge or aperture only</w:t>
      </w:r>
      <w:r>
        <w:t xml:space="preserve">, generally 2 px thick and 24–72 px long. A card must remain structurally understandable if the gold detail is removed.</w:t>
      </w:r>
    </w:p>
    <w:p>
      <w:pPr>
        <w:pStyle w:val="MdSpace"/>
        <w:spacing w:before="0" w:after="60"/>
      </w:pPr>
    </w:p>
    <w:p>
      <w:pPr>
        <w:pStyle w:val="MdParagraph"/>
      </w:pPr>
      <w:r>
        <w:t xml:space="preserve">Entire-card click targets are acceptable only where one unambiguous destination exists. Otherwise, use explicit actions inside the card. Casino event cards can prioritise imagery and date; security service cards should prioritise service name, coverage, proof point and contact route.</w:t>
      </w:r>
    </w:p>
    <w:p>
      <w:pPr>
        <w:pStyle w:val="MdSpace"/>
        <w:spacing w:before="0" w:after="60"/>
      </w:pPr>
    </w:p>
    <w:p>
      <w:pPr>
        <w:pStyle w:val="Heading3"/>
        <w:pStyle w:val="MdHeading3"/>
      </w:pPr>
      <w:r>
        <w:t xml:space="preserve">Tabs and accordions</w:t>
      </w:r>
    </w:p>
    <w:p>
      <w:pPr>
        <w:pStyle w:val="MdParagraph"/>
      </w:pPr>
      <w:r>
        <w:t xml:space="preserve">Tabs use Porcelain text on Graphite or Obsidian text on Porcelain. The active tab receives a 2 px gold underline plus </w:t>
      </w:r>
      <w:r>
        <w:rPr>
          <w:rStyle w:val="MdCode"/>
          <w:u w:val="single"/>
        </w:rPr>
        <w:t xml:space="preserve">aria-selected</w:t>
      </w:r>
      <w:r>
        <w:t xml:space="preserve">; inactive tabs must remain readable. On mobile, replace overcrowded tabs with a select or horizontally scrollable tab list that visibly indicates additional content.</w:t>
      </w:r>
    </w:p>
    <w:p>
      <w:pPr>
        <w:pStyle w:val="MdSpace"/>
        <w:spacing w:before="0" w:after="60"/>
      </w:pPr>
    </w:p>
    <w:p>
      <w:pPr>
        <w:pStyle w:val="MdParagraph"/>
      </w:pPr>
      <w:r>
        <w:t xml:space="preserve">Accordions use a text label and chevron. The expanded state changes both chevron direction and </w:t>
      </w:r>
      <w:r>
        <w:rPr>
          <w:rStyle w:val="MdCode"/>
          <w:u w:val="single"/>
        </w:rPr>
        <w:t xml:space="preserve">aria-expanded</w:t>
      </w:r>
      <w:r>
        <w:t xml:space="preserve">. Animation is limited to 180–220 ms and becomes instant under reduced motion.</w:t>
      </w:r>
    </w:p>
    <w:p>
      <w:pPr>
        <w:pStyle w:val="MdSpace"/>
        <w:spacing w:before="0" w:after="60"/>
      </w:pPr>
    </w:p>
    <w:p>
      <w:pPr>
        <w:pStyle w:val="Heading3"/>
        <w:pStyle w:val="MdHeading3"/>
      </w:pPr>
      <w:r>
        <w:t xml:space="preserve">Alerts, banners and status chips</w:t>
      </w:r>
    </w:p>
    <w:p>
      <w:pPr>
        <w:pStyle w:val="MdParagraph"/>
      </w:pPr>
      <w:r>
        <w:t xml:space="preserve">Gold is not a warning color. Use dedicated semantic status colors, always supported by an icon and text. Recommended dark-surface error text is </w:t>
      </w:r>
      <w:r>
        <w:rPr>
          <w:rStyle w:val="MdCode"/>
          <w:u w:val="single"/>
        </w:rPr>
        <w:t xml:space="preserve">#F2B8B5</w:t>
      </w:r>
      <w:r>
        <w:t xml:space="preserve">, which provides </w:t>
      </w:r>
      <w:r>
        <w:rPr>
          <w:rStyle w:val="MdStrong"/>
          <w:b/>
          <w:bCs/>
        </w:rPr>
        <w:t xml:space="preserve">11.52:1</w:t>
      </w:r>
      <w:r>
        <w:t xml:space="preserve"> on Obsidian. Jade is reserved for confirmed or successful states. Warning and information colors must be selected and contrast-tested during product design rather than derived from gold.</w:t>
      </w:r>
    </w:p>
    <w:p>
      <w:pPr>
        <w:pStyle w:val="MdSpace"/>
        <w:spacing w:before="0" w:after="60"/>
      </w:pPr>
    </w:p>
    <w:p>
      <w:pPr>
        <w:pStyle w:val="MdParagraph"/>
      </w:pPr>
      <w:r>
        <w:t xml:space="preserve">Status chips use a 24–28 px height, written label and icon where appropriate. Avoid tiny dots as the only state indicator. Persistent critical alerts belong near the page title and at the affected field or component.</w:t>
      </w:r>
    </w:p>
    <w:p>
      <w:pPr>
        <w:pStyle w:val="MdSpace"/>
        <w:spacing w:before="0" w:after="60"/>
      </w:pPr>
    </w:p>
    <w:p>
      <w:pPr>
        <w:pStyle w:val="Heading3"/>
        <w:pStyle w:val="MdHeading3"/>
      </w:pPr>
      <w:r>
        <w:t xml:space="preserve">Tables and data presentation</w:t>
      </w:r>
    </w:p>
    <w:p>
      <w:pPr>
        <w:pStyle w:val="MdParagraph"/>
      </w:pPr>
      <w:r>
        <w:t xml:space="preserve">Use Porcelain or Obsidian for text, Stone for secondary rules and Gold only for selection or emphasis. Headers remain visible during vertical scrolling when the task benefits from comparison. Sorting requires a visible arrow and accessible text. Never use gold, jade or any color alone to differentiate rows or series; add direct labels, symbols or patterns.</w:t>
      </w:r>
    </w:p>
    <w:p>
      <w:pPr>
        <w:pStyle w:val="MdSpace"/>
        <w:spacing w:before="0" w:after="60"/>
      </w:pPr>
    </w:p>
    <w:p>
      <w:pPr>
        <w:pStyle w:val="Heading3"/>
        <w:pStyle w:val="MdHeading3"/>
      </w:pPr>
      <w:r>
        <w:t xml:space="preserve">Modal dialogs, drawers and toast messages</w:t>
      </w:r>
    </w:p>
    <w:p>
      <w:pPr>
        <w:pStyle w:val="MdParagraph"/>
      </w:pPr>
      <w:r>
        <w:t xml:space="preserve">Dialogs use Graphite on dark contexts or Porcelain on light contexts, with a 1 px contrasting border and no decorative shadow. The backdrop may use </w:t>
      </w:r>
      <w:r>
        <w:rPr>
          <w:rStyle w:val="MdCode"/>
          <w:u w:val="single"/>
        </w:rPr>
        <w:t xml:space="preserve">rgba(11,11,13,0.72)</w:t>
      </w:r>
      <w:r>
        <w:t xml:space="preserve">. Focus moves into the dialog, remains trapped while open and returns to the trigger on close. Destructive confirmations state the exact consequence in the primary action label.</w:t>
      </w:r>
    </w:p>
    <w:p>
      <w:pPr>
        <w:pStyle w:val="MdSpace"/>
        <w:spacing w:before="0" w:after="60"/>
      </w:pPr>
    </w:p>
    <w:p>
      <w:pPr>
        <w:pStyle w:val="MdParagraph"/>
      </w:pPr>
      <w:r>
        <w:t xml:space="preserve">Toasts are reserved for low-risk confirmations and include text plus icon. Errors requiring action remain visible in the page. Avoid stacking more than three transient notices.</w:t>
      </w:r>
    </w:p>
    <w:p>
      <w:pPr>
        <w:pStyle w:val="MdSpace"/>
        <w:spacing w:before="0" w:after="60"/>
      </w:pPr>
    </w:p>
    <w:p>
      <w:pPr>
        <w:pStyle w:val="Heading3"/>
        <w:pStyle w:val="MdHeading3"/>
      </w:pPr>
      <w:r>
        <w:t xml:space="preserve">Booking and conversion flows</w:t>
      </w:r>
    </w:p>
    <w:p>
      <w:pPr>
        <w:pStyle w:val="MdParagraph"/>
      </w:pPr>
      <w:r>
        <w:t xml:space="preserve">Great Wall flows should use progressive disclosure, explicit pricing or availability, visible step labels and a persistent summary on larger screens. Do not introduce urgency through flashing timers, pulsing buttons or fabricated scarcity. Eagle Star enquiries should present service type, location, response expectation and escalation route early. The primary conversion action must remain visually dominant but not rely on motion.</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4. Emerald Neo-Deco specification</w:t>
      </w:r>
    </w:p>
    <w:p>
      <w:pPr>
        <w:pStyle w:val="Heading2"/>
        <w:pStyle w:val="MdHeading2"/>
      </w:pPr>
      <w:r>
        <w:t xml:space="preserve">4.1 Design intent</w:t>
      </w:r>
    </w:p>
    <w:p>
      <w:pPr>
        <w:pStyle w:val="MdParagraph"/>
      </w:pPr>
      <w:r>
        <w:t xml:space="preserve">Emerald Neo-Deco is an </w:t>
      </w:r>
      <w:r>
        <w:rPr>
          <w:rStyle w:val="MdStrong"/>
          <w:b/>
          <w:bCs/>
        </w:rPr>
        <w:t xml:space="preserve">architectural threshold system</w:t>
      </w:r>
      <w:r>
        <w:t xml:space="preserve">. The stepped portal signifies welcome and anticipation for Great Wall, and controlled passage and clarity for Eagle Star. Deco is reduced to a limited contemporary grammar: </w:t>
      </w:r>
      <w:r>
        <w:rPr>
          <w:rStyle w:val="MdStrong"/>
          <w:b/>
          <w:bCs/>
        </w:rPr>
        <w:t xml:space="preserve">nested frame, 45-degree chamfer, stepped corner and single brass keyline</w:t>
      </w:r>
      <w:r>
        <w:t xml:space="preserve">. Fanbursts, ornamental borders and 1920s costume styling are prohibited.</w:t>
      </w:r>
    </w:p>
    <w:p>
      <w:pPr>
        <w:pStyle w:val="MdSpace"/>
        <w:spacing w:before="0" w:after="60"/>
      </w:pPr>
    </w:p>
    <w:p>
      <w:pPr>
        <w:pStyle w:val="MdParagraph"/>
      </w:pPr>
      <w:r>
        <w:t xml:space="preserve">The default UI should be light and readable, using Ivory and Warm Stone surfaces with Emerald structure. Deep emerald is used for navigation, hero moments, selected components and high-emphasis containers. Brass remains an accent or physical material, not the default action or text color.</w:t>
      </w:r>
    </w:p>
    <w:p>
      <w:pPr>
        <w:pStyle w:val="MdSpace"/>
        <w:spacing w:before="0" w:after="60"/>
      </w:pPr>
    </w:p>
    <w:p>
      <w:pPr>
        <w:pStyle w:val="Heading2"/>
        <w:pStyle w:val="MdHeading2"/>
      </w:pPr>
      <w:r>
        <w:t xml:space="preserve">4.2 Core color specification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Brand color</w:t>
            </w:r>
          </w:p>
        </w:tc>
        <w:tc>
          <w:tcPr>
            <w:tcMar>
              <w:top w:type="dxa" w:w="100"/>
              <w:left w:type="dxa" w:w="120"/>
              <w:bottom w:type="dxa" w:w="100"/>
              <w:right w:type="dxa" w:w="120"/>
            </w:tcMar>
            <w:vAlign w:val="center"/>
          </w:tcPr>
          <w:p>
            <w:pPr>
              <w:pStyle w:val="MdTableHeader"/>
              <w:jc w:val="right"/>
            </w:pPr>
            <w:r>
              <w:t xml:space="preserve">Digital HEX</w:t>
            </w:r>
          </w:p>
        </w:tc>
        <w:tc>
          <w:tcPr>
            <w:tcMar>
              <w:top w:type="dxa" w:w="100"/>
              <w:left w:type="dxa" w:w="120"/>
              <w:bottom w:type="dxa" w:w="100"/>
              <w:right w:type="dxa" w:w="120"/>
            </w:tcMar>
            <w:vAlign w:val="center"/>
          </w:tcPr>
          <w:p>
            <w:pPr>
              <w:pStyle w:val="MdTableHeader"/>
            </w:pPr>
            <w:r>
              <w:t xml:space="preserve">Recommended Pantone starting point</w:t>
            </w:r>
          </w:p>
        </w:tc>
        <w:tc>
          <w:tcPr>
            <w:tcMar>
              <w:top w:type="dxa" w:w="100"/>
              <w:left w:type="dxa" w:w="120"/>
              <w:bottom w:type="dxa" w:w="100"/>
              <w:right w:type="dxa" w:w="120"/>
            </w:tcMar>
            <w:vAlign w:val="center"/>
          </w:tcPr>
          <w:p>
            <w:pPr>
              <w:pStyle w:val="MdTableHeader"/>
            </w:pPr>
            <w:r>
              <w:t xml:space="preserve">Material/production option</w:t>
            </w:r>
          </w:p>
        </w:tc>
        <w:tc>
          <w:tcPr>
            <w:tcBorders>
              <w:right w:val="none"/>
            </w:tcBorders>
            <w:tcMar>
              <w:top w:type="dxa" w:w="100"/>
              <w:left w:type="dxa" w:w="120"/>
              <w:bottom w:type="dxa" w:w="100"/>
              <w:right w:type="dxa" w:w="120"/>
            </w:tcMar>
            <w:vAlign w:val="center"/>
          </w:tcPr>
          <w:p>
            <w:pPr>
              <w:pStyle w:val="MdTableHeader"/>
            </w:pPr>
            <w:r>
              <w:t xml:space="preserve">Semantic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Obsidian Emerald</w:t>
            </w:r>
          </w:p>
        </w:tc>
        <w:tc>
          <w:tcPr>
            <w:tcMar>
              <w:top w:type="dxa" w:w="80"/>
              <w:left w:type="dxa" w:w="120"/>
              <w:bottom w:type="dxa" w:w="80"/>
              <w:right w:type="dxa" w:w="120"/>
            </w:tcMar>
            <w:vAlign w:val="center"/>
          </w:tcPr>
          <w:p>
            <w:pPr>
              <w:pStyle w:val="MdTableCell"/>
              <w:jc w:val="right"/>
            </w:pPr>
            <w:r>
              <w:rPr>
                <w:rStyle w:val="MdCode"/>
                <w:u w:val="single"/>
              </w:rPr>
              <w:t xml:space="preserve">#062F2A</w:t>
            </w:r>
          </w:p>
        </w:tc>
        <w:tc>
          <w:tcPr>
            <w:tcMar>
              <w:top w:type="dxa" w:w="80"/>
              <w:left w:type="dxa" w:w="120"/>
              <w:bottom w:type="dxa" w:w="80"/>
              <w:right w:type="dxa" w:w="120"/>
            </w:tcMar>
            <w:vAlign w:val="center"/>
          </w:tcPr>
          <w:p>
            <w:pPr>
              <w:pStyle w:val="MdTableCell"/>
            </w:pPr>
            <w:r>
              <w:rPr>
                <w:rStyle w:val="MdStrong"/>
                <w:b/>
                <w:bCs/>
              </w:rPr>
              <w:t xml:space="preserve">PMS 627 C</w:t>
            </w:r>
          </w:p>
        </w:tc>
        <w:tc>
          <w:tcPr>
            <w:tcMar>
              <w:top w:type="dxa" w:w="80"/>
              <w:left w:type="dxa" w:w="120"/>
              <w:bottom w:type="dxa" w:w="80"/>
              <w:right w:type="dxa" w:w="120"/>
            </w:tcMar>
            <w:vAlign w:val="center"/>
          </w:tcPr>
          <w:p>
            <w:pPr>
              <w:pStyle w:val="MdTableCell"/>
            </w:pPr>
            <w:r>
              <w:t xml:space="preserve">Deep-green paint, vinyl or technical fabric</w:t>
            </w:r>
          </w:p>
        </w:tc>
        <w:tc>
          <w:tcPr>
            <w:tcBorders>
              <w:right w:val="none"/>
            </w:tcBorders>
            <w:tcMar>
              <w:top w:type="dxa" w:w="80"/>
              <w:left w:type="dxa" w:w="120"/>
              <w:bottom w:type="dxa" w:w="80"/>
              <w:right w:type="dxa" w:w="120"/>
            </w:tcMar>
            <w:vAlign w:val="center"/>
          </w:tcPr>
          <w:p>
            <w:pPr>
              <w:pStyle w:val="MdTableCell"/>
            </w:pPr>
            <w:r>
              <w:t xml:space="preserve">Primary brand field, dark navigation, high-emphasis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Salon Emerald</w:t>
            </w:r>
          </w:p>
        </w:tc>
        <w:tc>
          <w:tcPr>
            <w:tcMar>
              <w:top w:type="dxa" w:w="80"/>
              <w:left w:type="dxa" w:w="120"/>
              <w:bottom w:type="dxa" w:w="80"/>
              <w:right w:type="dxa" w:w="120"/>
            </w:tcMar>
            <w:vAlign w:val="center"/>
          </w:tcPr>
          <w:p>
            <w:pPr>
              <w:pStyle w:val="MdTableCell"/>
              <w:jc w:val="right"/>
            </w:pPr>
            <w:r>
              <w:rPr>
                <w:rStyle w:val="MdCode"/>
                <w:u w:val="single"/>
              </w:rPr>
              <w:t xml:space="preserve">#0B4F43</w:t>
            </w:r>
          </w:p>
        </w:tc>
        <w:tc>
          <w:tcPr>
            <w:tcMar>
              <w:top w:type="dxa" w:w="80"/>
              <w:left w:type="dxa" w:w="120"/>
              <w:bottom w:type="dxa" w:w="80"/>
              <w:right w:type="dxa" w:w="120"/>
            </w:tcMar>
            <w:vAlign w:val="center"/>
          </w:tcPr>
          <w:p>
            <w:pPr>
              <w:pStyle w:val="MdTableCell"/>
            </w:pPr>
            <w:r>
              <w:rPr>
                <w:rStyle w:val="MdStrong"/>
                <w:b/>
                <w:bCs/>
              </w:rPr>
              <w:t xml:space="preserve">PMS 3305 C</w:t>
            </w:r>
          </w:p>
        </w:tc>
        <w:tc>
          <w:tcPr>
            <w:tcMar>
              <w:top w:type="dxa" w:w="80"/>
              <w:left w:type="dxa" w:w="120"/>
              <w:bottom w:type="dxa" w:w="80"/>
              <w:right w:type="dxa" w:w="120"/>
            </w:tcMar>
            <w:vAlign w:val="center"/>
          </w:tcPr>
          <w:p>
            <w:pPr>
              <w:pStyle w:val="MdTableCell"/>
            </w:pPr>
            <w:r>
              <w:t xml:space="preserve">Flat spot ink, powder coat or upholstery</w:t>
            </w:r>
          </w:p>
        </w:tc>
        <w:tc>
          <w:tcPr>
            <w:tcBorders>
              <w:right w:val="none"/>
            </w:tcBorders>
            <w:tcMar>
              <w:top w:type="dxa" w:w="80"/>
              <w:left w:type="dxa" w:w="120"/>
              <w:bottom w:type="dxa" w:w="80"/>
              <w:right w:type="dxa" w:w="120"/>
            </w:tcMar>
            <w:vAlign w:val="center"/>
          </w:tcPr>
          <w:p>
            <w:pPr>
              <w:pStyle w:val="MdTableCell"/>
            </w:pPr>
            <w:r>
              <w:t xml:space="preserve">Secondary field, panels, selected state and tonal depth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Luminous Ivory</w:t>
            </w:r>
          </w:p>
        </w:tc>
        <w:tc>
          <w:tcPr>
            <w:tcMar>
              <w:top w:type="dxa" w:w="80"/>
              <w:left w:type="dxa" w:w="120"/>
              <w:bottom w:type="dxa" w:w="80"/>
              <w:right w:type="dxa" w:w="120"/>
            </w:tcMar>
            <w:vAlign w:val="center"/>
          </w:tcPr>
          <w:p>
            <w:pPr>
              <w:pStyle w:val="MdTableCell"/>
              <w:jc w:val="right"/>
            </w:pPr>
            <w:r>
              <w:rPr>
                <w:rStyle w:val="MdCode"/>
                <w:u w:val="single"/>
              </w:rPr>
              <w:t xml:space="preserve">#F7F1E3</w:t>
            </w:r>
          </w:p>
        </w:tc>
        <w:tc>
          <w:tcPr>
            <w:tcMar>
              <w:top w:type="dxa" w:w="80"/>
              <w:left w:type="dxa" w:w="120"/>
              <w:bottom w:type="dxa" w:w="80"/>
              <w:right w:type="dxa" w:w="120"/>
            </w:tcMar>
            <w:vAlign w:val="center"/>
          </w:tcPr>
          <w:p>
            <w:pPr>
              <w:pStyle w:val="MdTableCell"/>
            </w:pPr>
            <w:r>
              <w:t xml:space="preserve">Use warm-ivory substrate; compare </w:t>
            </w:r>
            <w:r>
              <w:rPr>
                <w:rStyle w:val="MdStrong"/>
                <w:b/>
                <w:bCs/>
              </w:rPr>
              <w:t xml:space="preserve">PMS 427 C</w:t>
            </w:r>
            <w:r>
              <w:t xml:space="preserve"> or </w:t>
            </w:r>
            <w:r>
              <w:rPr>
                <w:rStyle w:val="MdStrong"/>
                <w:b/>
                <w:bCs/>
              </w:rPr>
              <w:t xml:space="preserve">PMS 454 C</w:t>
            </w:r>
            <w:r>
              <w:t xml:space="preserve"> if ink is necessary</w:t>
            </w:r>
          </w:p>
        </w:tc>
        <w:tc>
          <w:tcPr>
            <w:tcMar>
              <w:top w:type="dxa" w:w="80"/>
              <w:left w:type="dxa" w:w="120"/>
              <w:bottom w:type="dxa" w:w="80"/>
              <w:right w:type="dxa" w:w="120"/>
            </w:tcMar>
            <w:vAlign w:val="center"/>
          </w:tcPr>
          <w:p>
            <w:pPr>
              <w:pStyle w:val="MdTableCell"/>
            </w:pPr>
            <w:r>
              <w:t xml:space="preserve">Warm-white paper, paint or vinyl</w:t>
            </w:r>
          </w:p>
        </w:tc>
        <w:tc>
          <w:tcPr>
            <w:tcBorders>
              <w:right w:val="none"/>
            </w:tcBorders>
            <w:tcMar>
              <w:top w:type="dxa" w:w="80"/>
              <w:left w:type="dxa" w:w="120"/>
              <w:bottom w:type="dxa" w:w="80"/>
              <w:right w:type="dxa" w:w="120"/>
            </w:tcMar>
            <w:vAlign w:val="center"/>
          </w:tcPr>
          <w:p>
            <w:pPr>
              <w:pStyle w:val="MdTableCell"/>
            </w:pPr>
            <w:r>
              <w:t xml:space="preserve">Main reading surface and reverse 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Warm Stone</w:t>
            </w:r>
          </w:p>
        </w:tc>
        <w:tc>
          <w:tcPr>
            <w:tcMar>
              <w:top w:type="dxa" w:w="80"/>
              <w:left w:type="dxa" w:w="120"/>
              <w:bottom w:type="dxa" w:w="80"/>
              <w:right w:type="dxa" w:w="120"/>
            </w:tcMar>
            <w:vAlign w:val="center"/>
          </w:tcPr>
          <w:p>
            <w:pPr>
              <w:pStyle w:val="MdTableCell"/>
              <w:jc w:val="right"/>
            </w:pPr>
            <w:r>
              <w:rPr>
                <w:rStyle w:val="MdCode"/>
                <w:u w:val="single"/>
              </w:rPr>
              <w:t xml:space="preserve">#D9D0BE</w:t>
            </w:r>
          </w:p>
        </w:tc>
        <w:tc>
          <w:tcPr>
            <w:tcMar>
              <w:top w:type="dxa" w:w="80"/>
              <w:left w:type="dxa" w:w="120"/>
              <w:bottom w:type="dxa" w:w="80"/>
              <w:right w:type="dxa" w:w="120"/>
            </w:tcMar>
            <w:vAlign w:val="center"/>
          </w:tcPr>
          <w:p>
            <w:pPr>
              <w:pStyle w:val="MdTableCell"/>
            </w:pPr>
            <w:r>
              <w:rPr>
                <w:rStyle w:val="MdStrong"/>
                <w:b/>
                <w:bCs/>
              </w:rPr>
              <w:t xml:space="preserve">PMS 420 C</w:t>
            </w:r>
            <w:r>
              <w:t xml:space="preserve">; compare </w:t>
            </w:r>
            <w:r>
              <w:rPr>
                <w:rStyle w:val="MdStrong"/>
                <w:b/>
                <w:bCs/>
              </w:rPr>
              <w:t xml:space="preserve">PMS 400 C</w:t>
            </w:r>
            <w:r>
              <w:t xml:space="preserve"> for a warmer result</w:t>
            </w:r>
          </w:p>
        </w:tc>
        <w:tc>
          <w:tcPr>
            <w:tcMar>
              <w:top w:type="dxa" w:w="80"/>
              <w:left w:type="dxa" w:w="120"/>
              <w:bottom w:type="dxa" w:w="80"/>
              <w:right w:type="dxa" w:w="120"/>
            </w:tcMar>
            <w:vAlign w:val="center"/>
          </w:tcPr>
          <w:p>
            <w:pPr>
              <w:pStyle w:val="MdTableCell"/>
            </w:pPr>
            <w:r>
              <w:t xml:space="preserve">Uncoated stock, matte paint or textile</w:t>
            </w:r>
          </w:p>
        </w:tc>
        <w:tc>
          <w:tcPr>
            <w:tcBorders>
              <w:right w:val="none"/>
            </w:tcBorders>
            <w:tcMar>
              <w:top w:type="dxa" w:w="80"/>
              <w:left w:type="dxa" w:w="120"/>
              <w:bottom w:type="dxa" w:w="80"/>
              <w:right w:type="dxa" w:w="120"/>
            </w:tcMar>
            <w:vAlign w:val="center"/>
          </w:tcPr>
          <w:p>
            <w:pPr>
              <w:pStyle w:val="MdTableCell"/>
            </w:pPr>
            <w:r>
              <w:t xml:space="preserve">Secondary surface, form grouping and dividers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Aged Brass</w:t>
            </w:r>
          </w:p>
        </w:tc>
        <w:tc>
          <w:tcPr>
            <w:tcMar>
              <w:top w:type="dxa" w:w="80"/>
              <w:left w:type="dxa" w:w="120"/>
              <w:bottom w:type="dxa" w:w="80"/>
              <w:right w:type="dxa" w:w="120"/>
            </w:tcMar>
            <w:vAlign w:val="center"/>
          </w:tcPr>
          <w:p>
            <w:pPr>
              <w:pStyle w:val="MdTableCell"/>
              <w:jc w:val="right"/>
            </w:pPr>
            <w:r>
              <w:rPr>
                <w:rStyle w:val="MdCode"/>
                <w:u w:val="single"/>
              </w:rPr>
              <w:t xml:space="preserve">#B58A3A</w:t>
            </w:r>
          </w:p>
        </w:tc>
        <w:tc>
          <w:tcPr>
            <w:tcMar>
              <w:top w:type="dxa" w:w="80"/>
              <w:left w:type="dxa" w:w="120"/>
              <w:bottom w:type="dxa" w:w="80"/>
              <w:right w:type="dxa" w:w="120"/>
            </w:tcMar>
            <w:vAlign w:val="center"/>
          </w:tcPr>
          <w:p>
            <w:pPr>
              <w:pStyle w:val="MdTableCell"/>
            </w:pPr>
            <w:r>
              <w:rPr>
                <w:rStyle w:val="MdStrong"/>
                <w:b/>
                <w:bCs/>
              </w:rPr>
              <w:t xml:space="preserve">PMS 125 C</w:t>
            </w:r>
            <w:r>
              <w:t xml:space="preserve">; compare </w:t>
            </w:r>
            <w:r>
              <w:rPr>
                <w:rStyle w:val="MdStrong"/>
                <w:b/>
                <w:bCs/>
              </w:rPr>
              <w:t xml:space="preserve">PMS 1245 C</w:t>
            </w:r>
          </w:p>
        </w:tc>
        <w:tc>
          <w:tcPr>
            <w:tcMar>
              <w:top w:type="dxa" w:w="80"/>
              <w:left w:type="dxa" w:w="120"/>
              <w:bottom w:type="dxa" w:w="80"/>
              <w:right w:type="dxa" w:w="120"/>
            </w:tcMar>
            <w:vAlign w:val="center"/>
          </w:tcPr>
          <w:p>
            <w:pPr>
              <w:pStyle w:val="MdTableCell"/>
            </w:pPr>
            <w:r>
              <w:rPr>
                <w:rStyle w:val="MdStrong"/>
                <w:b/>
                <w:bCs/>
              </w:rPr>
              <w:t xml:space="preserve">PMS 871 C metallic</w:t>
            </w:r>
            <w:r>
              <w:t xml:space="preserve">, brushed brass, foil or thread</w:t>
            </w:r>
          </w:p>
        </w:tc>
        <w:tc>
          <w:tcPr>
            <w:tcBorders>
              <w:right w:val="none"/>
            </w:tcBorders>
            <w:tcMar>
              <w:top w:type="dxa" w:w="80"/>
              <w:left w:type="dxa" w:w="120"/>
              <w:bottom w:type="dxa" w:w="80"/>
              <w:right w:type="dxa" w:w="120"/>
            </w:tcMar>
            <w:vAlign w:val="center"/>
          </w:tcPr>
          <w:p>
            <w:pPr>
              <w:pStyle w:val="MdTableCell"/>
            </w:pPr>
            <w:r>
              <w:t xml:space="preserve">Decorative keyline, premium physical detail, large accent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Operational Ink</w:t>
            </w:r>
          </w:p>
        </w:tc>
        <w:tc>
          <w:tcPr>
            <w:tcBorders>
              <w:bottom w:val="single" w:color="E1E4E8" w:sz="4"/>
            </w:tcBorders>
            <w:tcMar>
              <w:top w:type="dxa" w:w="80"/>
              <w:left w:type="dxa" w:w="120"/>
              <w:bottom w:type="dxa" w:w="80"/>
              <w:right w:type="dxa" w:w="120"/>
            </w:tcMar>
            <w:vAlign w:val="center"/>
          </w:tcPr>
          <w:p>
            <w:pPr>
              <w:pStyle w:val="MdTableCell"/>
              <w:jc w:val="right"/>
            </w:pPr>
            <w:r>
              <w:rPr>
                <w:rStyle w:val="MdCode"/>
                <w:u w:val="single"/>
              </w:rPr>
              <w:t xml:space="preserve">#18231F</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PMS Black 3 C</w:t>
            </w:r>
            <w:r>
              <w:t xml:space="preserve">; compare </w:t>
            </w:r>
            <w:r>
              <w:rPr>
                <w:rStyle w:val="MdStrong"/>
                <w:b/>
                <w:bCs/>
              </w:rPr>
              <w:t xml:space="preserve">PMS 419 C</w:t>
            </w:r>
          </w:p>
        </w:tc>
        <w:tc>
          <w:tcPr>
            <w:tcBorders>
              <w:bottom w:val="single" w:color="E1E4E8" w:sz="4"/>
            </w:tcBorders>
            <w:tcMar>
              <w:top w:type="dxa" w:w="80"/>
              <w:left w:type="dxa" w:w="120"/>
              <w:bottom w:type="dxa" w:w="80"/>
              <w:right w:type="dxa" w:w="120"/>
            </w:tcMar>
            <w:vAlign w:val="center"/>
          </w:tcPr>
          <w:p>
            <w:pPr>
              <w:pStyle w:val="MdTableCell"/>
            </w:pPr>
            <w:r>
              <w:t xml:space="preserve">Deep green-black ink, paint or fabric</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Main text, icons, diagrams and operational information</w:t>
            </w:r>
          </w:p>
        </w:tc>
      </w:tr>
    </w:tbl>
    <w:p>
      <w:pPr>
        <w:pStyle w:val="Heading2"/>
        <w:pStyle w:val="MdHeading2"/>
      </w:pPr>
      <w:r>
        <w:t xml:space="preserve">4.3 Approved digital contrast pairings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Foreground</w:t>
            </w:r>
          </w:p>
        </w:tc>
        <w:tc>
          <w:tcPr>
            <w:tcMar>
              <w:top w:type="dxa" w:w="100"/>
              <w:left w:type="dxa" w:w="120"/>
              <w:bottom w:type="dxa" w:w="100"/>
              <w:right w:type="dxa" w:w="120"/>
            </w:tcMar>
            <w:vAlign w:val="center"/>
          </w:tcPr>
          <w:p>
            <w:pPr>
              <w:pStyle w:val="MdTableHeader"/>
            </w:pPr>
            <w:r>
              <w:t xml:space="preserve">Background</w:t>
            </w:r>
          </w:p>
        </w:tc>
        <w:tc>
          <w:tcPr>
            <w:tcMar>
              <w:top w:type="dxa" w:w="100"/>
              <w:left w:type="dxa" w:w="120"/>
              <w:bottom w:type="dxa" w:w="100"/>
              <w:right w:type="dxa" w:w="120"/>
            </w:tcMar>
            <w:vAlign w:val="center"/>
          </w:tcPr>
          <w:p>
            <w:pPr>
              <w:pStyle w:val="MdTableHeader"/>
              <w:jc w:val="right"/>
            </w:pPr>
            <w:r>
              <w:t xml:space="preserve">Contrast</w:t>
            </w:r>
          </w:p>
        </w:tc>
        <w:tc>
          <w:tcPr>
            <w:tcBorders>
              <w:right w:val="none"/>
            </w:tcBorders>
            <w:tcMar>
              <w:top w:type="dxa" w:w="100"/>
              <w:left w:type="dxa" w:w="120"/>
              <w:bottom w:type="dxa" w:w="100"/>
              <w:right w:type="dxa" w:w="120"/>
            </w:tcMar>
            <w:vAlign w:val="center"/>
          </w:tcPr>
          <w:p>
            <w:pPr>
              <w:pStyle w:val="MdTableHeader"/>
            </w:pPr>
            <w:r>
              <w:t xml:space="preserve">Approved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Ivory </w:t>
            </w:r>
            <w:r>
              <w:rPr>
                <w:rStyle w:val="MdCode"/>
                <w:u w:val="single"/>
              </w:rPr>
              <w:t xml:space="preserve">#F7F1E3</w:t>
            </w:r>
          </w:p>
        </w:tc>
        <w:tc>
          <w:tcPr>
            <w:tcMar>
              <w:top w:type="dxa" w:w="80"/>
              <w:left w:type="dxa" w:w="120"/>
              <w:bottom w:type="dxa" w:w="80"/>
              <w:right w:type="dxa" w:w="120"/>
            </w:tcMar>
            <w:vAlign w:val="center"/>
          </w:tcPr>
          <w:p>
            <w:pPr>
              <w:pStyle w:val="MdTableCell"/>
            </w:pPr>
            <w:r>
              <w:t xml:space="preserve">Obsidian Emerald </w:t>
            </w:r>
            <w:r>
              <w:rPr>
                <w:rStyle w:val="MdCode"/>
                <w:u w:val="single"/>
              </w:rPr>
              <w:t xml:space="preserve">#062F2A</w:t>
            </w:r>
          </w:p>
        </w:tc>
        <w:tc>
          <w:tcPr>
            <w:tcMar>
              <w:top w:type="dxa" w:w="80"/>
              <w:left w:type="dxa" w:w="120"/>
              <w:bottom w:type="dxa" w:w="80"/>
              <w:right w:type="dxa" w:w="120"/>
            </w:tcMar>
            <w:vAlign w:val="center"/>
          </w:tcPr>
          <w:p>
            <w:pPr>
              <w:pStyle w:val="MdTableCell"/>
              <w:jc w:val="right"/>
            </w:pPr>
            <w:r>
              <w:rPr>
                <w:rStyle w:val="MdStrong"/>
                <w:b/>
                <w:bCs/>
              </w:rPr>
              <w:t xml:space="preserve">12.88:1</w:t>
            </w:r>
          </w:p>
        </w:tc>
        <w:tc>
          <w:tcPr>
            <w:tcBorders>
              <w:right w:val="none"/>
            </w:tcBorders>
            <w:tcMar>
              <w:top w:type="dxa" w:w="80"/>
              <w:left w:type="dxa" w:w="120"/>
              <w:bottom w:type="dxa" w:w="80"/>
              <w:right w:type="dxa" w:w="120"/>
            </w:tcMar>
            <w:vAlign w:val="center"/>
          </w:tcPr>
          <w:p>
            <w:pPr>
              <w:pStyle w:val="MdTableCell"/>
            </w:pPr>
            <w:r>
              <w:t xml:space="preserve">All text, icons and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Warm Stone </w:t>
            </w:r>
            <w:r>
              <w:rPr>
                <w:rStyle w:val="MdCode"/>
                <w:u w:val="single"/>
              </w:rPr>
              <w:t xml:space="preserve">#D9D0BE</w:t>
            </w:r>
          </w:p>
        </w:tc>
        <w:tc>
          <w:tcPr>
            <w:tcMar>
              <w:top w:type="dxa" w:w="80"/>
              <w:left w:type="dxa" w:w="120"/>
              <w:bottom w:type="dxa" w:w="80"/>
              <w:right w:type="dxa" w:w="120"/>
            </w:tcMar>
            <w:vAlign w:val="center"/>
          </w:tcPr>
          <w:p>
            <w:pPr>
              <w:pStyle w:val="MdTableCell"/>
            </w:pPr>
            <w:r>
              <w:t xml:space="preserve">Obsidian Emerald </w:t>
            </w:r>
            <w:r>
              <w:rPr>
                <w:rStyle w:val="MdCode"/>
                <w:u w:val="single"/>
              </w:rPr>
              <w:t xml:space="preserve">#062F2A</w:t>
            </w:r>
          </w:p>
        </w:tc>
        <w:tc>
          <w:tcPr>
            <w:tcMar>
              <w:top w:type="dxa" w:w="80"/>
              <w:left w:type="dxa" w:w="120"/>
              <w:bottom w:type="dxa" w:w="80"/>
              <w:right w:type="dxa" w:w="120"/>
            </w:tcMar>
            <w:vAlign w:val="center"/>
          </w:tcPr>
          <w:p>
            <w:pPr>
              <w:pStyle w:val="MdTableCell"/>
              <w:jc w:val="right"/>
            </w:pPr>
            <w:r>
              <w:rPr>
                <w:rStyle w:val="MdStrong"/>
                <w:b/>
                <w:bCs/>
              </w:rPr>
              <w:t xml:space="preserve">9.47:1</w:t>
            </w:r>
          </w:p>
        </w:tc>
        <w:tc>
          <w:tcPr>
            <w:tcBorders>
              <w:right w:val="none"/>
            </w:tcBorders>
            <w:tcMar>
              <w:top w:type="dxa" w:w="80"/>
              <w:left w:type="dxa" w:w="120"/>
              <w:bottom w:type="dxa" w:w="80"/>
              <w:right w:type="dxa" w:w="120"/>
            </w:tcMar>
            <w:vAlign w:val="center"/>
          </w:tcPr>
          <w:p>
            <w:pPr>
              <w:pStyle w:val="MdTableCell"/>
            </w:pPr>
            <w:r>
              <w:t xml:space="preserve">Secondary text and structural graphics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Brass </w:t>
            </w:r>
            <w:r>
              <w:rPr>
                <w:rStyle w:val="MdCode"/>
                <w:u w:val="single"/>
              </w:rPr>
              <w:t xml:space="preserve">#B58A3A</w:t>
            </w:r>
          </w:p>
        </w:tc>
        <w:tc>
          <w:tcPr>
            <w:tcMar>
              <w:top w:type="dxa" w:w="80"/>
              <w:left w:type="dxa" w:w="120"/>
              <w:bottom w:type="dxa" w:w="80"/>
              <w:right w:type="dxa" w:w="120"/>
            </w:tcMar>
            <w:vAlign w:val="center"/>
          </w:tcPr>
          <w:p>
            <w:pPr>
              <w:pStyle w:val="MdTableCell"/>
            </w:pPr>
            <w:r>
              <w:t xml:space="preserve">Obsidian Emerald </w:t>
            </w:r>
            <w:r>
              <w:rPr>
                <w:rStyle w:val="MdCode"/>
                <w:u w:val="single"/>
              </w:rPr>
              <w:t xml:space="preserve">#062F2A</w:t>
            </w:r>
          </w:p>
        </w:tc>
        <w:tc>
          <w:tcPr>
            <w:tcMar>
              <w:top w:type="dxa" w:w="80"/>
              <w:left w:type="dxa" w:w="120"/>
              <w:bottom w:type="dxa" w:w="80"/>
              <w:right w:type="dxa" w:w="120"/>
            </w:tcMar>
            <w:vAlign w:val="center"/>
          </w:tcPr>
          <w:p>
            <w:pPr>
              <w:pStyle w:val="MdTableCell"/>
              <w:jc w:val="right"/>
            </w:pPr>
            <w:r>
              <w:rPr>
                <w:rStyle w:val="MdStrong"/>
                <w:b/>
                <w:bCs/>
              </w:rPr>
              <w:t xml:space="preserve">4.60:1</w:t>
            </w:r>
          </w:p>
        </w:tc>
        <w:tc>
          <w:tcPr>
            <w:tcBorders>
              <w:right w:val="none"/>
            </w:tcBorders>
            <w:tcMar>
              <w:top w:type="dxa" w:w="80"/>
              <w:left w:type="dxa" w:w="120"/>
              <w:bottom w:type="dxa" w:w="80"/>
              <w:right w:type="dxa" w:w="120"/>
            </w:tcMar>
            <w:vAlign w:val="center"/>
          </w:tcPr>
          <w:p>
            <w:pPr>
              <w:pStyle w:val="MdTableCell"/>
            </w:pPr>
            <w:r>
              <w:t xml:space="preserve">Normal text only at tested weights; preferably large labels or graphics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Ivory </w:t>
            </w:r>
            <w:r>
              <w:rPr>
                <w:rStyle w:val="MdCode"/>
                <w:u w:val="single"/>
              </w:rPr>
              <w:t xml:space="preserve">#F7F1E3</w:t>
            </w:r>
          </w:p>
        </w:tc>
        <w:tc>
          <w:tcPr>
            <w:tcMar>
              <w:top w:type="dxa" w:w="80"/>
              <w:left w:type="dxa" w:w="120"/>
              <w:bottom w:type="dxa" w:w="80"/>
              <w:right w:type="dxa" w:w="120"/>
            </w:tcMar>
            <w:vAlign w:val="center"/>
          </w:tcPr>
          <w:p>
            <w:pPr>
              <w:pStyle w:val="MdTableCell"/>
            </w:pPr>
            <w:r>
              <w:t xml:space="preserve">Salon Emerald </w:t>
            </w:r>
            <w:r>
              <w:rPr>
                <w:rStyle w:val="MdCode"/>
                <w:u w:val="single"/>
              </w:rPr>
              <w:t xml:space="preserve">#0B4F43</w:t>
            </w:r>
          </w:p>
        </w:tc>
        <w:tc>
          <w:tcPr>
            <w:tcMar>
              <w:top w:type="dxa" w:w="80"/>
              <w:left w:type="dxa" w:w="120"/>
              <w:bottom w:type="dxa" w:w="80"/>
              <w:right w:type="dxa" w:w="120"/>
            </w:tcMar>
            <w:vAlign w:val="center"/>
          </w:tcPr>
          <w:p>
            <w:pPr>
              <w:pStyle w:val="MdTableCell"/>
              <w:jc w:val="right"/>
            </w:pPr>
            <w:r>
              <w:rPr>
                <w:rStyle w:val="MdStrong"/>
                <w:b/>
                <w:bCs/>
              </w:rPr>
              <w:t xml:space="preserve">8.42:1</w:t>
            </w:r>
          </w:p>
        </w:tc>
        <w:tc>
          <w:tcPr>
            <w:tcBorders>
              <w:right w:val="none"/>
            </w:tcBorders>
            <w:tcMar>
              <w:top w:type="dxa" w:w="80"/>
              <w:left w:type="dxa" w:w="120"/>
              <w:bottom w:type="dxa" w:w="80"/>
              <w:right w:type="dxa" w:w="120"/>
            </w:tcMar>
            <w:vAlign w:val="center"/>
          </w:tcPr>
          <w:p>
            <w:pPr>
              <w:pStyle w:val="MdTableCell"/>
            </w:pPr>
            <w:r>
              <w:t xml:space="preserve">All text and icons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Ink </w:t>
            </w:r>
            <w:r>
              <w:rPr>
                <w:rStyle w:val="MdCode"/>
                <w:u w:val="single"/>
              </w:rPr>
              <w:t xml:space="preserve">#18231F</w:t>
            </w:r>
          </w:p>
        </w:tc>
        <w:tc>
          <w:tcPr>
            <w:tcMar>
              <w:top w:type="dxa" w:w="80"/>
              <w:left w:type="dxa" w:w="120"/>
              <w:bottom w:type="dxa" w:w="80"/>
              <w:right w:type="dxa" w:w="120"/>
            </w:tcMar>
            <w:vAlign w:val="center"/>
          </w:tcPr>
          <w:p>
            <w:pPr>
              <w:pStyle w:val="MdTableCell"/>
            </w:pPr>
            <w:r>
              <w:t xml:space="preserve">Ivory </w:t>
            </w:r>
            <w:r>
              <w:rPr>
                <w:rStyle w:val="MdCode"/>
                <w:u w:val="single"/>
              </w:rPr>
              <w:t xml:space="preserve">#F7F1E3</w:t>
            </w:r>
          </w:p>
        </w:tc>
        <w:tc>
          <w:tcPr>
            <w:tcMar>
              <w:top w:type="dxa" w:w="80"/>
              <w:left w:type="dxa" w:w="120"/>
              <w:bottom w:type="dxa" w:w="80"/>
              <w:right w:type="dxa" w:w="120"/>
            </w:tcMar>
            <w:vAlign w:val="center"/>
          </w:tcPr>
          <w:p>
            <w:pPr>
              <w:pStyle w:val="MdTableCell"/>
              <w:jc w:val="right"/>
            </w:pPr>
            <w:r>
              <w:rPr>
                <w:rStyle w:val="MdStrong"/>
                <w:b/>
                <w:bCs/>
              </w:rPr>
              <w:t xml:space="preserve">14.35:1</w:t>
            </w:r>
          </w:p>
        </w:tc>
        <w:tc>
          <w:tcPr>
            <w:tcBorders>
              <w:right w:val="none"/>
            </w:tcBorders>
            <w:tcMar>
              <w:top w:type="dxa" w:w="80"/>
              <w:left w:type="dxa" w:w="120"/>
              <w:bottom w:type="dxa" w:w="80"/>
              <w:right w:type="dxa" w:w="120"/>
            </w:tcMar>
            <w:vAlign w:val="center"/>
          </w:tcPr>
          <w:p>
            <w:pPr>
              <w:pStyle w:val="MdTableCell"/>
            </w:pPr>
            <w:r>
              <w:t xml:space="preserve">All text, icons and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Ink </w:t>
            </w:r>
            <w:r>
              <w:rPr>
                <w:rStyle w:val="MdCode"/>
                <w:u w:val="single"/>
              </w:rPr>
              <w:t xml:space="preserve">#18231F</w:t>
            </w:r>
          </w:p>
        </w:tc>
        <w:tc>
          <w:tcPr>
            <w:tcMar>
              <w:top w:type="dxa" w:w="80"/>
              <w:left w:type="dxa" w:w="120"/>
              <w:bottom w:type="dxa" w:w="80"/>
              <w:right w:type="dxa" w:w="120"/>
            </w:tcMar>
            <w:vAlign w:val="center"/>
          </w:tcPr>
          <w:p>
            <w:pPr>
              <w:pStyle w:val="MdTableCell"/>
            </w:pPr>
            <w:r>
              <w:t xml:space="preserve">Brass </w:t>
            </w:r>
            <w:r>
              <w:rPr>
                <w:rStyle w:val="MdCode"/>
                <w:u w:val="single"/>
              </w:rPr>
              <w:t xml:space="preserve">#B58A3A</w:t>
            </w:r>
          </w:p>
        </w:tc>
        <w:tc>
          <w:tcPr>
            <w:tcMar>
              <w:top w:type="dxa" w:w="80"/>
              <w:left w:type="dxa" w:w="120"/>
              <w:bottom w:type="dxa" w:w="80"/>
              <w:right w:type="dxa" w:w="120"/>
            </w:tcMar>
            <w:vAlign w:val="center"/>
          </w:tcPr>
          <w:p>
            <w:pPr>
              <w:pStyle w:val="MdTableCell"/>
              <w:jc w:val="right"/>
            </w:pPr>
            <w:r>
              <w:rPr>
                <w:rStyle w:val="MdStrong"/>
                <w:b/>
                <w:bCs/>
              </w:rPr>
              <w:t xml:space="preserve">5.13:1</w:t>
            </w:r>
          </w:p>
        </w:tc>
        <w:tc>
          <w:tcPr>
            <w:tcBorders>
              <w:right w:val="none"/>
            </w:tcBorders>
            <w:tcMar>
              <w:top w:type="dxa" w:w="80"/>
              <w:left w:type="dxa" w:w="120"/>
              <w:bottom w:type="dxa" w:w="80"/>
              <w:right w:type="dxa" w:w="120"/>
            </w:tcMar>
            <w:vAlign w:val="center"/>
          </w:tcPr>
          <w:p>
            <w:pPr>
              <w:pStyle w:val="MdTableCell"/>
            </w:pPr>
            <w:r>
              <w:t xml:space="preserve">Button text or labels on brass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Brass </w:t>
            </w:r>
            <w:r>
              <w:rPr>
                <w:rStyle w:val="MdCode"/>
                <w:u w:val="single"/>
              </w:rPr>
              <w:t xml:space="preserve">#B58A3A</w:t>
            </w:r>
          </w:p>
        </w:tc>
        <w:tc>
          <w:tcPr>
            <w:tcMar>
              <w:top w:type="dxa" w:w="80"/>
              <w:left w:type="dxa" w:w="120"/>
              <w:bottom w:type="dxa" w:w="80"/>
              <w:right w:type="dxa" w:w="120"/>
            </w:tcMar>
            <w:vAlign w:val="center"/>
          </w:tcPr>
          <w:p>
            <w:pPr>
              <w:pStyle w:val="MdTableCell"/>
            </w:pPr>
            <w:r>
              <w:t xml:space="preserve">Ivory </w:t>
            </w:r>
            <w:r>
              <w:rPr>
                <w:rStyle w:val="MdCode"/>
                <w:u w:val="single"/>
              </w:rPr>
              <w:t xml:space="preserve">#F7F1E3</w:t>
            </w:r>
          </w:p>
        </w:tc>
        <w:tc>
          <w:tcPr>
            <w:tcMar>
              <w:top w:type="dxa" w:w="80"/>
              <w:left w:type="dxa" w:w="120"/>
              <w:bottom w:type="dxa" w:w="80"/>
              <w:right w:type="dxa" w:w="120"/>
            </w:tcMar>
            <w:vAlign w:val="center"/>
          </w:tcPr>
          <w:p>
            <w:pPr>
              <w:pStyle w:val="MdTableCell"/>
              <w:jc w:val="right"/>
            </w:pPr>
            <w:r>
              <w:rPr>
                <w:rStyle w:val="MdStrong"/>
                <w:b/>
                <w:bCs/>
              </w:rPr>
              <w:t xml:space="preserve">2.80:1</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Prohibited</w:t>
            </w:r>
            <w:r>
              <w:t xml:space="preserve"> for text, component boundaries and sole selection indicators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White </w:t>
            </w:r>
            <w:r>
              <w:rPr>
                <w:rStyle w:val="MdCode"/>
                <w:u w:val="single"/>
              </w:rPr>
              <w:t xml:space="preserve">#FFFFFF</w:t>
            </w:r>
          </w:p>
        </w:tc>
        <w:tc>
          <w:tcPr>
            <w:tcBorders>
              <w:bottom w:val="single" w:color="E1E4E8" w:sz="4"/>
            </w:tcBorders>
            <w:tcMar>
              <w:top w:type="dxa" w:w="80"/>
              <w:left w:type="dxa" w:w="120"/>
              <w:bottom w:type="dxa" w:w="80"/>
              <w:right w:type="dxa" w:w="120"/>
            </w:tcMar>
            <w:vAlign w:val="center"/>
          </w:tcPr>
          <w:p>
            <w:pPr>
              <w:pStyle w:val="MdTableCell"/>
            </w:pPr>
            <w:r>
              <w:t xml:space="preserve">Brass </w:t>
            </w:r>
            <w:r>
              <w:rPr>
                <w:rStyle w:val="MdCode"/>
                <w:u w:val="single"/>
              </w:rPr>
              <w:t xml:space="preserve">#B58A3A</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3.15:1</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Large text only; </w:t>
            </w:r>
            <w:r>
              <w:rPr>
                <w:rStyle w:val="MdStrong"/>
                <w:b/>
                <w:bCs/>
              </w:rPr>
              <w:t xml:space="preserve">prohibited for normal button text</w:t>
            </w:r>
          </w:p>
        </w:tc>
      </w:tr>
    </w:tbl>
    <w:p>
      <w:pPr>
        <w:pStyle w:val="Heading2"/>
        <w:pStyle w:val="MdHeading2"/>
      </w:pPr>
      <w:r>
        <w:t xml:space="preserve">4.4 Theme allocation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Context</w:t>
            </w:r>
          </w:p>
        </w:tc>
        <w:tc>
          <w:tcPr>
            <w:tcBorders>
              <w:right w:val="none"/>
            </w:tcBorders>
            <w:tcMar>
              <w:top w:type="dxa" w:w="100"/>
              <w:left w:type="dxa" w:w="120"/>
              <w:bottom w:type="dxa" w:w="100"/>
              <w:right w:type="dxa" w:w="120"/>
            </w:tcMar>
            <w:vAlign w:val="center"/>
          </w:tcPr>
          <w:p>
            <w:pPr>
              <w:pStyle w:val="MdTableHeader"/>
            </w:pPr>
            <w:r>
              <w:t xml:space="preserve">Recommended visual ratio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Great Wall marketing and guest journey</w:t>
            </w:r>
          </w:p>
        </w:tc>
        <w:tc>
          <w:tcPr>
            <w:tcBorders>
              <w:right w:val="none"/>
            </w:tcBorders>
            <w:tcMar>
              <w:top w:type="dxa" w:w="80"/>
              <w:left w:type="dxa" w:w="120"/>
              <w:bottom w:type="dxa" w:w="80"/>
              <w:right w:type="dxa" w:w="120"/>
            </w:tcMar>
            <w:vAlign w:val="center"/>
          </w:tcPr>
          <w:p>
            <w:pPr>
              <w:pStyle w:val="MdTableCell"/>
            </w:pPr>
            <w:r>
              <w:t xml:space="preserve">45–60% emerald fields, 25–35% Ivory, 5–10% brass, remainder imagery and Stone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Eagle Star public website</w:t>
            </w:r>
          </w:p>
        </w:tc>
        <w:tc>
          <w:tcPr>
            <w:tcBorders>
              <w:right w:val="none"/>
            </w:tcBorders>
            <w:tcMar>
              <w:top w:type="dxa" w:w="80"/>
              <w:left w:type="dxa" w:w="120"/>
              <w:bottom w:type="dxa" w:w="80"/>
              <w:right w:type="dxa" w:w="120"/>
            </w:tcMar>
            <w:vAlign w:val="center"/>
          </w:tcPr>
          <w:p>
            <w:pPr>
              <w:pStyle w:val="MdTableCell"/>
            </w:pPr>
            <w:r>
              <w:t xml:space="preserve">50–65% Ivory/Warm Stone, 25–35% emerald, less than 5% brass, remainder status colors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Eagle Star operational content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70–80% Ivory/Warm Stone, 15–25% Ink/Emerald, brass decorative only</w:t>
            </w:r>
          </w:p>
        </w:tc>
      </w:tr>
    </w:tbl>
    <w:p>
      <w:pPr>
        <w:pStyle w:val="Heading2"/>
        <w:pStyle w:val="MdHeading2"/>
      </w:pPr>
      <w:r>
        <w:t xml:space="preserve">4.5 Component guidelines</w:t>
      </w:r>
    </w:p>
    <w:p>
      <w:pPr>
        <w:pStyle w:val="Heading3"/>
        <w:pStyle w:val="MdHeading3"/>
      </w:pPr>
      <w:r>
        <w:t xml:space="preserve">Global navigation</w:t>
      </w:r>
    </w:p>
    <w:p>
      <w:pPr>
        <w:pStyle w:val="MdParagraph"/>
      </w:pPr>
      <w:r>
        <w:t xml:space="preserve">The desktop header is 72 px high and uses Obsidian Emerald with Ivory labels. The active destination uses an Ivory label, a </w:t>
      </w:r>
      <w:r>
        <w:rPr>
          <w:rStyle w:val="MdStrong"/>
          <w:b/>
          <w:bCs/>
        </w:rPr>
        <w:t xml:space="preserve">2 px emerald-to-ivory contrast-safe indicator</w:t>
      </w:r>
      <w:r>
        <w:t xml:space="preserve">, and a restrained brass keyline that remains decorative. Do not use a brass underline as the sole active-state signal on Ivory because the contrast is only 2.80:1.</w:t>
      </w:r>
    </w:p>
    <w:p>
      <w:pPr>
        <w:pStyle w:val="MdSpace"/>
        <w:spacing w:before="0" w:after="60"/>
      </w:pPr>
    </w:p>
    <w:p>
      <w:pPr>
        <w:pStyle w:val="MdParagraph"/>
      </w:pPr>
      <w:r>
        <w:t xml:space="preserve">Mobile navigation opens as an emerald drawer with nested portal spacing, not ornamental borders. Eagle Star reading-heavy pages may use an Ivory sticky header with Ink labels and an Obsidian Emerald active indicator.</w:t>
      </w:r>
    </w:p>
    <w:p>
      <w:pPr>
        <w:pStyle w:val="MdSpace"/>
        <w:spacing w:before="0" w:after="60"/>
      </w:pPr>
    </w:p>
    <w:p>
      <w:pPr>
        <w:pStyle w:val="Heading3"/>
        <w:pStyle w:val="MdHeading3"/>
      </w:pPr>
      <w:r>
        <w:t xml:space="preserve">Buttons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Variant</w:t>
            </w:r>
          </w:p>
        </w:tc>
        <w:tc>
          <w:tcPr>
            <w:tcMar>
              <w:top w:type="dxa" w:w="100"/>
              <w:left w:type="dxa" w:w="120"/>
              <w:bottom w:type="dxa" w:w="100"/>
              <w:right w:type="dxa" w:w="120"/>
            </w:tcMar>
            <w:vAlign w:val="center"/>
          </w:tcPr>
          <w:p>
            <w:pPr>
              <w:pStyle w:val="MdTableHeader"/>
            </w:pPr>
            <w:r>
              <w:t xml:space="preserve">Default</w:t>
            </w:r>
          </w:p>
        </w:tc>
        <w:tc>
          <w:tcPr>
            <w:tcMar>
              <w:top w:type="dxa" w:w="100"/>
              <w:left w:type="dxa" w:w="120"/>
              <w:bottom w:type="dxa" w:w="100"/>
              <w:right w:type="dxa" w:w="120"/>
            </w:tcMar>
            <w:vAlign w:val="center"/>
          </w:tcPr>
          <w:p>
            <w:pPr>
              <w:pStyle w:val="MdTableHeader"/>
            </w:pPr>
            <w:r>
              <w:t xml:space="preserve">Hover</w:t>
            </w:r>
          </w:p>
        </w:tc>
        <w:tc>
          <w:tcPr>
            <w:tcMar>
              <w:top w:type="dxa" w:w="100"/>
              <w:left w:type="dxa" w:w="120"/>
              <w:bottom w:type="dxa" w:w="100"/>
              <w:right w:type="dxa" w:w="120"/>
            </w:tcMar>
            <w:vAlign w:val="center"/>
          </w:tcPr>
          <w:p>
            <w:pPr>
              <w:pStyle w:val="MdTableHeader"/>
            </w:pPr>
            <w:r>
              <w:t xml:space="preserve">Pressed</w:t>
            </w:r>
          </w:p>
        </w:tc>
        <w:tc>
          <w:tcPr>
            <w:tcBorders>
              <w:right w:val="none"/>
            </w:tcBorders>
            <w:tcMar>
              <w:top w:type="dxa" w:w="100"/>
              <w:left w:type="dxa" w:w="120"/>
              <w:bottom w:type="dxa" w:w="100"/>
              <w:right w:type="dxa" w:w="120"/>
            </w:tcMar>
            <w:vAlign w:val="center"/>
          </w:tcPr>
          <w:p>
            <w:pPr>
              <w:pStyle w:val="MdTableHeader"/>
            </w:pPr>
            <w:r>
              <w:t xml:space="preserve">Focus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light</w:t>
            </w:r>
          </w:p>
        </w:tc>
        <w:tc>
          <w:tcPr>
            <w:tcMar>
              <w:top w:type="dxa" w:w="80"/>
              <w:left w:type="dxa" w:w="120"/>
              <w:bottom w:type="dxa" w:w="80"/>
              <w:right w:type="dxa" w:w="120"/>
            </w:tcMar>
            <w:vAlign w:val="center"/>
          </w:tcPr>
          <w:p>
            <w:pPr>
              <w:pStyle w:val="MdTableCell"/>
            </w:pPr>
            <w:r>
              <w:t xml:space="preserve">Obsidian Emerald fill; Ivory text/icon</w:t>
            </w:r>
          </w:p>
        </w:tc>
        <w:tc>
          <w:tcPr>
            <w:tcMar>
              <w:top w:type="dxa" w:w="80"/>
              <w:left w:type="dxa" w:w="120"/>
              <w:bottom w:type="dxa" w:w="80"/>
              <w:right w:type="dxa" w:w="120"/>
            </w:tcMar>
            <w:vAlign w:val="center"/>
          </w:tcPr>
          <w:p>
            <w:pPr>
              <w:pStyle w:val="MdTableCell"/>
            </w:pPr>
            <w:r>
              <w:t xml:space="preserve">Salon Emerald fill</w:t>
            </w:r>
          </w:p>
        </w:tc>
        <w:tc>
          <w:tcPr>
            <w:tcMar>
              <w:top w:type="dxa" w:w="80"/>
              <w:left w:type="dxa" w:w="120"/>
              <w:bottom w:type="dxa" w:w="80"/>
              <w:right w:type="dxa" w:w="120"/>
            </w:tcMar>
            <w:vAlign w:val="center"/>
          </w:tcPr>
          <w:p>
            <w:pPr>
              <w:pStyle w:val="MdTableCell"/>
            </w:pPr>
            <w:r>
              <w:t xml:space="preserve">Darkened emerald</w:t>
            </w:r>
          </w:p>
        </w:tc>
        <w:tc>
          <w:tcPr>
            <w:tcBorders>
              <w:right w:val="none"/>
            </w:tcBorders>
            <w:tcMar>
              <w:top w:type="dxa" w:w="80"/>
              <w:left w:type="dxa" w:w="120"/>
              <w:bottom w:type="dxa" w:w="80"/>
              <w:right w:type="dxa" w:w="120"/>
            </w:tcMar>
            <w:vAlign w:val="center"/>
          </w:tcPr>
          <w:p>
            <w:pPr>
              <w:pStyle w:val="MdTableCell"/>
            </w:pPr>
            <w:r>
              <w:t xml:space="preserve">2 px Obsidian Emerald outline with 2 px offset; use a dual Ivory/emerald ring when needed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dark</w:t>
            </w:r>
          </w:p>
        </w:tc>
        <w:tc>
          <w:tcPr>
            <w:tcMar>
              <w:top w:type="dxa" w:w="80"/>
              <w:left w:type="dxa" w:w="120"/>
              <w:bottom w:type="dxa" w:w="80"/>
              <w:right w:type="dxa" w:w="120"/>
            </w:tcMar>
            <w:vAlign w:val="center"/>
          </w:tcPr>
          <w:p>
            <w:pPr>
              <w:pStyle w:val="MdTableCell"/>
            </w:pPr>
            <w:r>
              <w:t xml:space="preserve">Ivory fill; Obsidian Emerald text</w:t>
            </w:r>
          </w:p>
        </w:tc>
        <w:tc>
          <w:tcPr>
            <w:tcMar>
              <w:top w:type="dxa" w:w="80"/>
              <w:left w:type="dxa" w:w="120"/>
              <w:bottom w:type="dxa" w:w="80"/>
              <w:right w:type="dxa" w:w="120"/>
            </w:tcMar>
            <w:vAlign w:val="center"/>
          </w:tcPr>
          <w:p>
            <w:pPr>
              <w:pStyle w:val="MdTableCell"/>
            </w:pPr>
            <w:r>
              <w:t xml:space="preserve">Warm Stone fill</w:t>
            </w:r>
          </w:p>
        </w:tc>
        <w:tc>
          <w:tcPr>
            <w:tcMar>
              <w:top w:type="dxa" w:w="80"/>
              <w:left w:type="dxa" w:w="120"/>
              <w:bottom w:type="dxa" w:w="80"/>
              <w:right w:type="dxa" w:w="120"/>
            </w:tcMar>
            <w:vAlign w:val="center"/>
          </w:tcPr>
          <w:p>
            <w:pPr>
              <w:pStyle w:val="MdTableCell"/>
            </w:pPr>
            <w:r>
              <w:t xml:space="preserve">Slightly darker Stone</w:t>
            </w:r>
          </w:p>
        </w:tc>
        <w:tc>
          <w:tcPr>
            <w:tcBorders>
              <w:right w:val="none"/>
            </w:tcBorders>
            <w:tcMar>
              <w:top w:type="dxa" w:w="80"/>
              <w:left w:type="dxa" w:w="120"/>
              <w:bottom w:type="dxa" w:w="80"/>
              <w:right w:type="dxa" w:w="120"/>
            </w:tcMar>
            <w:vAlign w:val="center"/>
          </w:tcPr>
          <w:p>
            <w:pPr>
              <w:pStyle w:val="MdTableCell"/>
            </w:pPr>
            <w:r>
              <w:t xml:space="preserve">2 px Ivory outline with 2 px offset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Premium accent</w:t>
            </w:r>
          </w:p>
        </w:tc>
        <w:tc>
          <w:tcPr>
            <w:tcMar>
              <w:top w:type="dxa" w:w="80"/>
              <w:left w:type="dxa" w:w="120"/>
              <w:bottom w:type="dxa" w:w="80"/>
              <w:right w:type="dxa" w:w="120"/>
            </w:tcMar>
            <w:vAlign w:val="center"/>
          </w:tcPr>
          <w:p>
            <w:pPr>
              <w:pStyle w:val="MdTableCell"/>
            </w:pPr>
            <w:r>
              <w:t xml:space="preserve">Brass fill; Operational Ink text</w:t>
            </w:r>
          </w:p>
        </w:tc>
        <w:tc>
          <w:tcPr>
            <w:tcMar>
              <w:top w:type="dxa" w:w="80"/>
              <w:left w:type="dxa" w:w="120"/>
              <w:bottom w:type="dxa" w:w="80"/>
              <w:right w:type="dxa" w:w="120"/>
            </w:tcMar>
            <w:vAlign w:val="center"/>
          </w:tcPr>
          <w:p>
            <w:pPr>
              <w:pStyle w:val="MdTableCell"/>
            </w:pPr>
            <w:r>
              <w:t xml:space="preserve">Slightly lighter brass</w:t>
            </w:r>
          </w:p>
        </w:tc>
        <w:tc>
          <w:tcPr>
            <w:tcMar>
              <w:top w:type="dxa" w:w="80"/>
              <w:left w:type="dxa" w:w="120"/>
              <w:bottom w:type="dxa" w:w="80"/>
              <w:right w:type="dxa" w:w="120"/>
            </w:tcMar>
            <w:vAlign w:val="center"/>
          </w:tcPr>
          <w:p>
            <w:pPr>
              <w:pStyle w:val="MdTableCell"/>
            </w:pPr>
            <w:r>
              <w:t xml:space="preserve">Darker brass</w:t>
            </w:r>
          </w:p>
        </w:tc>
        <w:tc>
          <w:tcPr>
            <w:tcBorders>
              <w:right w:val="none"/>
            </w:tcBorders>
            <w:tcMar>
              <w:top w:type="dxa" w:w="80"/>
              <w:left w:type="dxa" w:w="120"/>
              <w:bottom w:type="dxa" w:w="80"/>
              <w:right w:type="dxa" w:w="120"/>
            </w:tcMar>
            <w:vAlign w:val="center"/>
          </w:tcPr>
          <w:p>
            <w:pPr>
              <w:pStyle w:val="MdTableCell"/>
            </w:pPr>
            <w:r>
              <w:t xml:space="preserve">2 px Obsidian Emerald outline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Secondary</w:t>
            </w:r>
          </w:p>
        </w:tc>
        <w:tc>
          <w:tcPr>
            <w:tcMar>
              <w:top w:type="dxa" w:w="80"/>
              <w:left w:type="dxa" w:w="120"/>
              <w:bottom w:type="dxa" w:w="80"/>
              <w:right w:type="dxa" w:w="120"/>
            </w:tcMar>
            <w:vAlign w:val="center"/>
          </w:tcPr>
          <w:p>
            <w:pPr>
              <w:pStyle w:val="MdTableCell"/>
            </w:pPr>
            <w:r>
              <w:t xml:space="preserve">Transparent; 1 px Obsidian Emerald border; emerald or Ink text</w:t>
            </w:r>
          </w:p>
        </w:tc>
        <w:tc>
          <w:tcPr>
            <w:tcMar>
              <w:top w:type="dxa" w:w="80"/>
              <w:left w:type="dxa" w:w="120"/>
              <w:bottom w:type="dxa" w:w="80"/>
              <w:right w:type="dxa" w:w="120"/>
            </w:tcMar>
            <w:vAlign w:val="center"/>
          </w:tcPr>
          <w:p>
            <w:pPr>
              <w:pStyle w:val="MdTableCell"/>
            </w:pPr>
            <w:r>
              <w:t xml:space="preserve">Warm Stone fill</w:t>
            </w:r>
          </w:p>
        </w:tc>
        <w:tc>
          <w:tcPr>
            <w:tcMar>
              <w:top w:type="dxa" w:w="80"/>
              <w:left w:type="dxa" w:w="120"/>
              <w:bottom w:type="dxa" w:w="80"/>
              <w:right w:type="dxa" w:w="120"/>
            </w:tcMar>
            <w:vAlign w:val="center"/>
          </w:tcPr>
          <w:p>
            <w:pPr>
              <w:pStyle w:val="MdTableCell"/>
            </w:pPr>
            <w:r>
              <w:t xml:space="preserve">Stronger 2 px boundary</w:t>
            </w:r>
          </w:p>
        </w:tc>
        <w:tc>
          <w:tcPr>
            <w:tcBorders>
              <w:right w:val="none"/>
            </w:tcBorders>
            <w:tcMar>
              <w:top w:type="dxa" w:w="80"/>
              <w:left w:type="dxa" w:w="120"/>
              <w:bottom w:type="dxa" w:w="80"/>
              <w:right w:type="dxa" w:w="120"/>
            </w:tcMar>
            <w:vAlign w:val="center"/>
          </w:tcPr>
          <w:p>
            <w:pPr>
              <w:pStyle w:val="MdTableCell"/>
            </w:pPr>
            <w:r>
              <w:t xml:space="preserve">Separate 2 px focus ring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Tertiary</w:t>
            </w:r>
          </w:p>
        </w:tc>
        <w:tc>
          <w:tcPr>
            <w:tcBorders>
              <w:bottom w:val="single" w:color="E1E4E8" w:sz="4"/>
            </w:tcBorders>
            <w:tcMar>
              <w:top w:type="dxa" w:w="80"/>
              <w:left w:type="dxa" w:w="120"/>
              <w:bottom w:type="dxa" w:w="80"/>
              <w:right w:type="dxa" w:w="120"/>
            </w:tcMar>
            <w:vAlign w:val="center"/>
          </w:tcPr>
          <w:p>
            <w:pPr>
              <w:pStyle w:val="MdTableCell"/>
            </w:pPr>
            <w:r>
              <w:t xml:space="preserve">Underlined emerald/Ink text with arrow</w:t>
            </w:r>
          </w:p>
        </w:tc>
        <w:tc>
          <w:tcPr>
            <w:tcBorders>
              <w:bottom w:val="single" w:color="E1E4E8" w:sz="4"/>
            </w:tcBorders>
            <w:tcMar>
              <w:top w:type="dxa" w:w="80"/>
              <w:left w:type="dxa" w:w="120"/>
              <w:bottom w:type="dxa" w:w="80"/>
              <w:right w:type="dxa" w:w="120"/>
            </w:tcMar>
            <w:vAlign w:val="center"/>
          </w:tcPr>
          <w:p>
            <w:pPr>
              <w:pStyle w:val="MdTableCell"/>
            </w:pPr>
            <w:r>
              <w:t xml:space="preserve">Increased underline weight</w:t>
            </w:r>
          </w:p>
        </w:tc>
        <w:tc>
          <w:tcPr>
            <w:tcBorders>
              <w:bottom w:val="single" w:color="E1E4E8" w:sz="4"/>
            </w:tcBorders>
            <w:tcMar>
              <w:top w:type="dxa" w:w="80"/>
              <w:left w:type="dxa" w:w="120"/>
              <w:bottom w:type="dxa" w:w="80"/>
              <w:right w:type="dxa" w:w="120"/>
            </w:tcMar>
            <w:vAlign w:val="center"/>
          </w:tcPr>
          <w:p>
            <w:pPr>
              <w:pStyle w:val="MdTableCell"/>
            </w:pPr>
            <w:r>
              <w:t xml:space="preserve">No layout movement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Full 2 px focus perimeter</w:t>
            </w:r>
          </w:p>
        </w:tc>
      </w:tr>
    </w:tbl>
    <w:p>
      <w:pPr>
        <w:pStyle w:val="MdParagraph"/>
      </w:pPr>
      <w:r>
        <w:t xml:space="preserve">Buttons use Manrope 600, sentence case and 14–16 px type. Default height is 48 px. Corners may use a </w:t>
      </w:r>
      <w:r>
        <w:rPr>
          <w:rStyle w:val="MdStrong"/>
          <w:b/>
          <w:bCs/>
        </w:rPr>
        <w:t xml:space="preserve">4 px radius</w:t>
      </w:r>
      <w:r>
        <w:t xml:space="preserve"> or one </w:t>
      </w:r>
      <w:r>
        <w:rPr>
          <w:rStyle w:val="MdStrong"/>
          <w:b/>
          <w:bCs/>
        </w:rPr>
        <w:t xml:space="preserve">8 px chamfered corner</w:t>
      </w:r>
      <w:r>
        <w:t xml:space="preserve"> for expressive marketing components. Keep standard rectangular geometry in forms, operational portals and third-party payment flows.</w:t>
      </w:r>
    </w:p>
    <w:p>
      <w:pPr>
        <w:pStyle w:val="MdSpace"/>
        <w:spacing w:before="0" w:after="60"/>
      </w:pPr>
    </w:p>
    <w:p>
      <w:pPr>
        <w:pStyle w:val="MdParagraph"/>
      </w:pPr>
      <w:r>
        <w:t xml:space="preserve">White text on brass is prohibited for normal-size button labels. Use Operational Ink on brass, which achieves 5.13:1.</w:t>
      </w:r>
    </w:p>
    <w:p>
      <w:pPr>
        <w:pStyle w:val="MdSpace"/>
        <w:spacing w:before="0" w:after="60"/>
      </w:pPr>
    </w:p>
    <w:p>
      <w:pPr>
        <w:pStyle w:val="Heading3"/>
        <w:pStyle w:val="MdHeading3"/>
      </w:pPr>
      <w:r>
        <w:t xml:space="preserve">Links</w:t>
      </w:r>
    </w:p>
    <w:p>
      <w:pPr>
        <w:pStyle w:val="MdParagraph"/>
      </w:pPr>
      <w:r>
        <w:t xml:space="preserve">On Ivory and Warm Stone, links use Obsidian Emerald or Operational Ink with a persistent underline. Brass may appear in a nonfunctional decorative rule adjacent to a link but not as the only link color. On emerald surfaces, links use Ivory and an underline or directional icon.</w:t>
      </w:r>
    </w:p>
    <w:p>
      <w:pPr>
        <w:pStyle w:val="MdSpace"/>
        <w:spacing w:before="0" w:after="60"/>
      </w:pPr>
    </w:p>
    <w:p>
      <w:pPr>
        <w:pStyle w:val="Heading3"/>
        <w:pStyle w:val="MdHeading3"/>
      </w:pPr>
      <w:r>
        <w:t xml:space="preserve">Text inputs, selects and text areas</w:t>
      </w:r>
    </w:p>
    <w:p>
      <w:pPr>
        <w:pStyle w:val="MdParagraph"/>
      </w:pPr>
      <w:r>
        <w:t xml:space="preserve">Light fields use Ivory fill, Operational Ink text and a 1 px Obsidian Emerald boundary. Grouped fields may sit on Warm Stone. Focus changes the field boundary to 2 px Salon Emerald and adds an external focus perimeter. Dark promotional forms use Salon Emerald or Obsidian Emerald fill with Ivory text and Warm Stone labels.</w:t>
      </w:r>
    </w:p>
    <w:p>
      <w:pPr>
        <w:pStyle w:val="MdSpace"/>
        <w:spacing w:before="0" w:after="60"/>
      </w:pPr>
    </w:p>
    <w:p>
      <w:pPr>
        <w:pStyle w:val="MdParagraph"/>
      </w:pPr>
      <w:r>
        <w:t xml:space="preserve">Labels remain above the field. Required and optional status must be written, not inferred from an asterisk alone. Error messages appear immediately below the field with an icon and instruction for correction. Recommended error text is </w:t>
      </w:r>
      <w:r>
        <w:rPr>
          <w:rStyle w:val="MdCode"/>
          <w:u w:val="single"/>
        </w:rPr>
        <w:t xml:space="preserve">#B3261E</w:t>
      </w:r>
      <w:r>
        <w:t xml:space="preserve"> on Ivory, providing </w:t>
      </w:r>
      <w:r>
        <w:rPr>
          <w:rStyle w:val="MdStrong"/>
          <w:b/>
          <w:bCs/>
        </w:rPr>
        <w:t xml:space="preserve">5.80:1</w:t>
      </w:r>
      <w:r>
        <w:t xml:space="preserve">. Never recolor brass to simulate warning or error.</w:t>
      </w:r>
    </w:p>
    <w:p>
      <w:pPr>
        <w:pStyle w:val="MdSpace"/>
        <w:spacing w:before="0" w:after="60"/>
      </w:pPr>
    </w:p>
    <w:p>
      <w:pPr>
        <w:pStyle w:val="Heading3"/>
        <w:pStyle w:val="MdHeading3"/>
      </w:pPr>
      <w:r>
        <w:t xml:space="preserve">Checkboxes, radios, switches and segmented controls</w:t>
      </w:r>
    </w:p>
    <w:p>
      <w:pPr>
        <w:pStyle w:val="MdParagraph"/>
      </w:pPr>
      <w:r>
        <w:t xml:space="preserve">Default boundaries use Obsidian Emerald. Selected controls use Salon Emerald fill with an Ivory check or inner mark. A brass outline may be added for ceremonial casino moments only if selection remains obvious without it. Switches should include visible on/off labels in security and account settings. Segmented controls use Warm Stone as the group container, with Obsidian Emerald fill and Ivory text for the selected segment.</w:t>
      </w:r>
    </w:p>
    <w:p>
      <w:pPr>
        <w:pStyle w:val="MdSpace"/>
        <w:spacing w:before="0" w:after="60"/>
      </w:pPr>
    </w:p>
    <w:p>
      <w:pPr>
        <w:pStyle w:val="Heading3"/>
        <w:pStyle w:val="MdHeading3"/>
      </w:pPr>
      <w:r>
        <w:t xml:space="preserve">Cards and portal containers</w:t>
      </w:r>
    </w:p>
    <w:p>
      <w:pPr>
        <w:pStyle w:val="MdParagraph"/>
      </w:pPr>
      <w:r>
        <w:t xml:space="preserve">Standard cards use Ivory or Warm Stone with a 1 px emerald outline and no shadow. Expressive cards may use one stepped or chamfered corner, but never more than two decorative portal layers. The ornament-density tokens are: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Density</w:t>
            </w:r>
          </w:p>
        </w:tc>
        <w:tc>
          <w:tcPr>
            <w:tcMar>
              <w:top w:type="dxa" w:w="100"/>
              <w:left w:type="dxa" w:w="120"/>
              <w:bottom w:type="dxa" w:w="100"/>
              <w:right w:type="dxa" w:w="120"/>
            </w:tcMar>
            <w:vAlign w:val="center"/>
          </w:tcPr>
          <w:p>
            <w:pPr>
              <w:pStyle w:val="MdTableHeader"/>
            </w:pPr>
            <w:r>
              <w:t xml:space="preserve">Application</w:t>
            </w:r>
          </w:p>
        </w:tc>
        <w:tc>
          <w:tcPr>
            <w:tcBorders>
              <w:right w:val="none"/>
            </w:tcBorders>
            <w:tcMar>
              <w:top w:type="dxa" w:w="100"/>
              <w:left w:type="dxa" w:w="120"/>
              <w:bottom w:type="dxa" w:w="100"/>
              <w:right w:type="dxa" w:w="120"/>
            </w:tcMar>
            <w:vAlign w:val="center"/>
          </w:tcPr>
          <w:p>
            <w:pPr>
              <w:pStyle w:val="MdTableHeader"/>
            </w:pPr>
            <w:r>
              <w:t xml:space="preserve">Rule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Quiet</w:t>
            </w:r>
          </w:p>
        </w:tc>
        <w:tc>
          <w:tcPr>
            <w:tcMar>
              <w:top w:type="dxa" w:w="80"/>
              <w:left w:type="dxa" w:w="120"/>
              <w:bottom w:type="dxa" w:w="80"/>
              <w:right w:type="dxa" w:w="120"/>
            </w:tcMar>
            <w:vAlign w:val="center"/>
          </w:tcPr>
          <w:p>
            <w:pPr>
              <w:pStyle w:val="MdTableCell"/>
            </w:pPr>
            <w:r>
              <w:t xml:space="preserve">Forms, service pages, dashboards, policies</w:t>
            </w:r>
          </w:p>
        </w:tc>
        <w:tc>
          <w:tcPr>
            <w:tcBorders>
              <w:right w:val="none"/>
            </w:tcBorders>
            <w:tcMar>
              <w:top w:type="dxa" w:w="80"/>
              <w:left w:type="dxa" w:w="120"/>
              <w:bottom w:type="dxa" w:w="80"/>
              <w:right w:type="dxa" w:w="120"/>
            </w:tcMar>
            <w:vAlign w:val="center"/>
          </w:tcPr>
          <w:p>
            <w:pPr>
              <w:pStyle w:val="MdTableCell"/>
            </w:pPr>
            <w:r>
              <w:t xml:space="preserve">One structural corner or no ornament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Standard</w:t>
            </w:r>
          </w:p>
        </w:tc>
        <w:tc>
          <w:tcPr>
            <w:tcMar>
              <w:top w:type="dxa" w:w="80"/>
              <w:left w:type="dxa" w:w="120"/>
              <w:bottom w:type="dxa" w:w="80"/>
              <w:right w:type="dxa" w:w="120"/>
            </w:tcMar>
            <w:vAlign w:val="center"/>
          </w:tcPr>
          <w:p>
            <w:pPr>
              <w:pStyle w:val="MdTableCell"/>
            </w:pPr>
            <w:r>
              <w:t xml:space="preserve">Event cards, service cards, landing-page modules</w:t>
            </w:r>
          </w:p>
        </w:tc>
        <w:tc>
          <w:tcPr>
            <w:tcBorders>
              <w:right w:val="none"/>
            </w:tcBorders>
            <w:tcMar>
              <w:top w:type="dxa" w:w="80"/>
              <w:left w:type="dxa" w:w="120"/>
              <w:bottom w:type="dxa" w:w="80"/>
              <w:right w:type="dxa" w:w="120"/>
            </w:tcMar>
            <w:vAlign w:val="center"/>
          </w:tcPr>
          <w:p>
            <w:pPr>
              <w:pStyle w:val="MdTableCell"/>
            </w:pPr>
            <w:r>
              <w:t xml:space="preserve">One portal frame and one brass keyline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Ceremonial</w:t>
            </w:r>
          </w:p>
        </w:tc>
        <w:tc>
          <w:tcPr>
            <w:tcBorders>
              <w:bottom w:val="single" w:color="E1E4E8" w:sz="4"/>
            </w:tcBorders>
            <w:tcMar>
              <w:top w:type="dxa" w:w="80"/>
              <w:left w:type="dxa" w:w="120"/>
              <w:bottom w:type="dxa" w:w="80"/>
              <w:right w:type="dxa" w:w="120"/>
            </w:tcMar>
            <w:vAlign w:val="center"/>
          </w:tcPr>
          <w:p>
            <w:pPr>
              <w:pStyle w:val="MdTableCell"/>
            </w:pPr>
            <w:r>
              <w:t xml:space="preserve">VIP invitations, hero modules, campaign takeovers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Maximum two nested frames; functional content remains on a plain field</w:t>
            </w:r>
          </w:p>
        </w:tc>
      </w:tr>
    </w:tbl>
    <w:p>
      <w:pPr>
        <w:pStyle w:val="MdParagraph"/>
      </w:pPr>
      <w:r>
        <w:t xml:space="preserve">Cards containing safety, account, payment or incident information always use Quiet density.</w:t>
      </w:r>
    </w:p>
    <w:p>
      <w:pPr>
        <w:pStyle w:val="MdSpace"/>
        <w:spacing w:before="0" w:after="60"/>
      </w:pPr>
    </w:p>
    <w:p>
      <w:pPr>
        <w:pStyle w:val="Heading3"/>
        <w:pStyle w:val="MdHeading3"/>
      </w:pPr>
      <w:r>
        <w:t xml:space="preserve">Tabs and accordions</w:t>
      </w:r>
    </w:p>
    <w:p>
      <w:pPr>
        <w:pStyle w:val="MdParagraph"/>
      </w:pPr>
      <w:r>
        <w:t xml:space="preserve">Tabs use emerald or Ink labels on Ivory. The selected tab receives a 2 px Obsidian Emerald underline and </w:t>
      </w:r>
      <w:r>
        <w:rPr>
          <w:rStyle w:val="MdCode"/>
          <w:u w:val="single"/>
        </w:rPr>
        <w:t xml:space="preserve">aria-selected</w:t>
      </w:r>
      <w:r>
        <w:t xml:space="preserve">. Brass may be used as a second, nonessential keyline but must not carry the selected state. On dark surfaces, use Ivory labels and Warm Stone dividers.</w:t>
      </w:r>
    </w:p>
    <w:p>
      <w:pPr>
        <w:pStyle w:val="MdSpace"/>
        <w:spacing w:before="0" w:after="60"/>
      </w:pPr>
    </w:p>
    <w:p>
      <w:pPr>
        <w:pStyle w:val="MdParagraph"/>
      </w:pPr>
      <w:r>
        <w:t xml:space="preserve">Accordions use a stepped chevron or simple plus/minus control. Expanded state changes shape and accessible state. Motion is limited to 180–220 ms and becomes immediate under reduced motion.</w:t>
      </w:r>
    </w:p>
    <w:p>
      <w:pPr>
        <w:pStyle w:val="MdSpace"/>
        <w:spacing w:before="0" w:after="60"/>
      </w:pPr>
    </w:p>
    <w:p>
      <w:pPr>
        <w:pStyle w:val="Heading3"/>
        <w:pStyle w:val="MdHeading3"/>
      </w:pPr>
      <w:r>
        <w:t xml:space="preserve">Alerts, banners and status chips</w:t>
      </w:r>
    </w:p>
    <w:p>
      <w:pPr>
        <w:pStyle w:val="MdParagraph"/>
      </w:pPr>
      <w:r>
        <w:t xml:space="preserve">Brand brass is not a warning token. Use a separate semantic status system so operational meaning remains consistent between both brand directions. A recommended shared starting set is: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State</w:t>
            </w:r>
          </w:p>
        </w:tc>
        <w:tc>
          <w:tcPr>
            <w:tcMar>
              <w:top w:type="dxa" w:w="100"/>
              <w:left w:type="dxa" w:w="120"/>
              <w:bottom w:type="dxa" w:w="100"/>
              <w:right w:type="dxa" w:w="120"/>
            </w:tcMar>
            <w:vAlign w:val="center"/>
          </w:tcPr>
          <w:p>
            <w:pPr>
              <w:pStyle w:val="MdTableHeader"/>
              <w:jc w:val="right"/>
            </w:pPr>
            <w:r>
              <w:t xml:space="preserve">Light-surface foreground</w:t>
            </w:r>
          </w:p>
        </w:tc>
        <w:tc>
          <w:tcPr>
            <w:tcMar>
              <w:top w:type="dxa" w:w="100"/>
              <w:left w:type="dxa" w:w="120"/>
              <w:bottom w:type="dxa" w:w="100"/>
              <w:right w:type="dxa" w:w="120"/>
            </w:tcMar>
            <w:vAlign w:val="center"/>
          </w:tcPr>
          <w:p>
            <w:pPr>
              <w:pStyle w:val="MdTableHeader"/>
              <w:jc w:val="right"/>
            </w:pPr>
            <w:r>
              <w:t xml:space="preserve">Dark-surface foreground</w:t>
            </w:r>
          </w:p>
        </w:tc>
        <w:tc>
          <w:tcPr>
            <w:tcBorders>
              <w:right w:val="none"/>
            </w:tcBorders>
            <w:tcMar>
              <w:top w:type="dxa" w:w="100"/>
              <w:left w:type="dxa" w:w="120"/>
              <w:bottom w:type="dxa" w:w="100"/>
              <w:right w:type="dxa" w:w="120"/>
            </w:tcMar>
            <w:vAlign w:val="center"/>
          </w:tcPr>
          <w:p>
            <w:pPr>
              <w:pStyle w:val="MdTableHeader"/>
            </w:pPr>
            <w:r>
              <w:t xml:space="preserve">Required companion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Success</w:t>
            </w:r>
          </w:p>
        </w:tc>
        <w:tc>
          <w:tcPr>
            <w:tcMar>
              <w:top w:type="dxa" w:w="80"/>
              <w:left w:type="dxa" w:w="120"/>
              <w:bottom w:type="dxa" w:w="80"/>
              <w:right w:type="dxa" w:w="120"/>
            </w:tcMar>
            <w:vAlign w:val="center"/>
          </w:tcPr>
          <w:p>
            <w:pPr>
              <w:pStyle w:val="MdTableCell"/>
              <w:jc w:val="right"/>
            </w:pPr>
            <w:r>
              <w:rPr>
                <w:rStyle w:val="MdCode"/>
                <w:u w:val="single"/>
              </w:rPr>
              <w:t xml:space="preserve">#2E6B4E</w:t>
            </w:r>
          </w:p>
        </w:tc>
        <w:tc>
          <w:tcPr>
            <w:tcMar>
              <w:top w:type="dxa" w:w="80"/>
              <w:left w:type="dxa" w:w="120"/>
              <w:bottom w:type="dxa" w:w="80"/>
              <w:right w:type="dxa" w:w="120"/>
            </w:tcMar>
            <w:vAlign w:val="center"/>
          </w:tcPr>
          <w:p>
            <w:pPr>
              <w:pStyle w:val="MdTableCell"/>
              <w:jc w:val="right"/>
            </w:pPr>
            <w:r>
              <w:rPr>
                <w:rStyle w:val="MdCode"/>
                <w:u w:val="single"/>
              </w:rPr>
              <w:t xml:space="preserve">#8FD8B5</w:t>
            </w:r>
          </w:p>
        </w:tc>
        <w:tc>
          <w:tcPr>
            <w:tcBorders>
              <w:right w:val="none"/>
            </w:tcBorders>
            <w:tcMar>
              <w:top w:type="dxa" w:w="80"/>
              <w:left w:type="dxa" w:w="120"/>
              <w:bottom w:type="dxa" w:w="80"/>
              <w:right w:type="dxa" w:w="120"/>
            </w:tcMar>
            <w:vAlign w:val="center"/>
          </w:tcPr>
          <w:p>
            <w:pPr>
              <w:pStyle w:val="MdTableCell"/>
            </w:pPr>
            <w:r>
              <w:t xml:space="preserve">Check icon + written 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Warning</w:t>
            </w:r>
          </w:p>
        </w:tc>
        <w:tc>
          <w:tcPr>
            <w:tcMar>
              <w:top w:type="dxa" w:w="80"/>
              <w:left w:type="dxa" w:w="120"/>
              <w:bottom w:type="dxa" w:w="80"/>
              <w:right w:type="dxa" w:w="120"/>
            </w:tcMar>
            <w:vAlign w:val="center"/>
          </w:tcPr>
          <w:p>
            <w:pPr>
              <w:pStyle w:val="MdTableCell"/>
              <w:jc w:val="right"/>
            </w:pPr>
            <w:r>
              <w:rPr>
                <w:rStyle w:val="MdCode"/>
                <w:u w:val="single"/>
              </w:rPr>
              <w:t xml:space="preserve">#7A4A00</w:t>
            </w:r>
          </w:p>
        </w:tc>
        <w:tc>
          <w:tcPr>
            <w:tcMar>
              <w:top w:type="dxa" w:w="80"/>
              <w:left w:type="dxa" w:w="120"/>
              <w:bottom w:type="dxa" w:w="80"/>
              <w:right w:type="dxa" w:w="120"/>
            </w:tcMar>
            <w:vAlign w:val="center"/>
          </w:tcPr>
          <w:p>
            <w:pPr>
              <w:pStyle w:val="MdTableCell"/>
              <w:jc w:val="right"/>
            </w:pPr>
            <w:r>
              <w:rPr>
                <w:rStyle w:val="MdCode"/>
                <w:u w:val="single"/>
              </w:rPr>
              <w:t xml:space="preserve">#F2C14E</w:t>
            </w:r>
          </w:p>
        </w:tc>
        <w:tc>
          <w:tcPr>
            <w:tcBorders>
              <w:right w:val="none"/>
            </w:tcBorders>
            <w:tcMar>
              <w:top w:type="dxa" w:w="80"/>
              <w:left w:type="dxa" w:w="120"/>
              <w:bottom w:type="dxa" w:w="80"/>
              <w:right w:type="dxa" w:w="120"/>
            </w:tcMar>
            <w:vAlign w:val="center"/>
          </w:tcPr>
          <w:p>
            <w:pPr>
              <w:pStyle w:val="MdTableCell"/>
            </w:pPr>
            <w:r>
              <w:t xml:space="preserve">Warning icon + instruction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Error</w:t>
            </w:r>
          </w:p>
        </w:tc>
        <w:tc>
          <w:tcPr>
            <w:tcMar>
              <w:top w:type="dxa" w:w="80"/>
              <w:left w:type="dxa" w:w="120"/>
              <w:bottom w:type="dxa" w:w="80"/>
              <w:right w:type="dxa" w:w="120"/>
            </w:tcMar>
            <w:vAlign w:val="center"/>
          </w:tcPr>
          <w:p>
            <w:pPr>
              <w:pStyle w:val="MdTableCell"/>
              <w:jc w:val="right"/>
            </w:pPr>
            <w:r>
              <w:rPr>
                <w:rStyle w:val="MdCode"/>
                <w:u w:val="single"/>
              </w:rPr>
              <w:t xml:space="preserve">#B3261E</w:t>
            </w:r>
          </w:p>
        </w:tc>
        <w:tc>
          <w:tcPr>
            <w:tcMar>
              <w:top w:type="dxa" w:w="80"/>
              <w:left w:type="dxa" w:w="120"/>
              <w:bottom w:type="dxa" w:w="80"/>
              <w:right w:type="dxa" w:w="120"/>
            </w:tcMar>
            <w:vAlign w:val="center"/>
          </w:tcPr>
          <w:p>
            <w:pPr>
              <w:pStyle w:val="MdTableCell"/>
              <w:jc w:val="right"/>
            </w:pPr>
            <w:r>
              <w:rPr>
                <w:rStyle w:val="MdCode"/>
                <w:u w:val="single"/>
              </w:rPr>
              <w:t xml:space="preserve">#F2B8B5</w:t>
            </w:r>
          </w:p>
        </w:tc>
        <w:tc>
          <w:tcPr>
            <w:tcBorders>
              <w:right w:val="none"/>
            </w:tcBorders>
            <w:tcMar>
              <w:top w:type="dxa" w:w="80"/>
              <w:left w:type="dxa" w:w="120"/>
              <w:bottom w:type="dxa" w:w="80"/>
              <w:right w:type="dxa" w:w="120"/>
            </w:tcMar>
            <w:vAlign w:val="center"/>
          </w:tcPr>
          <w:p>
            <w:pPr>
              <w:pStyle w:val="MdTableCell"/>
            </w:pPr>
            <w:r>
              <w:t xml:space="preserve">Error icon + corrective message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Information</w:t>
            </w:r>
          </w:p>
        </w:tc>
        <w:tc>
          <w:tcPr>
            <w:tcBorders>
              <w:bottom w:val="single" w:color="E1E4E8" w:sz="4"/>
            </w:tcBorders>
            <w:tcMar>
              <w:top w:type="dxa" w:w="80"/>
              <w:left w:type="dxa" w:w="120"/>
              <w:bottom w:type="dxa" w:w="80"/>
              <w:right w:type="dxa" w:w="120"/>
            </w:tcMar>
            <w:vAlign w:val="center"/>
          </w:tcPr>
          <w:p>
            <w:pPr>
              <w:pStyle w:val="MdTableCell"/>
              <w:jc w:val="right"/>
            </w:pPr>
            <w:r>
              <w:rPr>
                <w:rStyle w:val="MdCode"/>
                <w:u w:val="single"/>
              </w:rPr>
              <w:t xml:space="preserve">#174E72</w:t>
            </w:r>
          </w:p>
        </w:tc>
        <w:tc>
          <w:tcPr>
            <w:tcBorders>
              <w:bottom w:val="single" w:color="E1E4E8" w:sz="4"/>
            </w:tcBorders>
            <w:tcMar>
              <w:top w:type="dxa" w:w="80"/>
              <w:left w:type="dxa" w:w="120"/>
              <w:bottom w:type="dxa" w:w="80"/>
              <w:right w:type="dxa" w:w="120"/>
            </w:tcMar>
            <w:vAlign w:val="center"/>
          </w:tcPr>
          <w:p>
            <w:pPr>
              <w:pStyle w:val="MdTableCell"/>
              <w:jc w:val="right"/>
            </w:pPr>
            <w:r>
              <w:rPr>
                <w:rStyle w:val="MdCode"/>
                <w:u w:val="single"/>
              </w:rPr>
              <w:t xml:space="preserve">#9CCBEE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Information icon + label</w:t>
            </w:r>
          </w:p>
        </w:tc>
      </w:tr>
    </w:tbl>
    <w:p>
      <w:pPr>
        <w:pStyle w:val="MdParagraph"/>
      </w:pPr>
      <w:r>
        <w:t xml:space="preserve">These status values are product colors rather than core identity colors and must be verified in every foreground/background combination before implementation.</w:t>
      </w:r>
    </w:p>
    <w:p>
      <w:pPr>
        <w:pStyle w:val="MdSpace"/>
        <w:spacing w:before="0" w:after="60"/>
      </w:pPr>
    </w:p>
    <w:p>
      <w:pPr>
        <w:pStyle w:val="Heading3"/>
        <w:pStyle w:val="MdHeading3"/>
      </w:pPr>
      <w:r>
        <w:t xml:space="preserve">Tables and operational data</w:t>
      </w:r>
    </w:p>
    <w:p>
      <w:pPr>
        <w:pStyle w:val="MdParagraph"/>
      </w:pPr>
      <w:r>
        <w:t xml:space="preserve">Use Operational Ink on Ivory for primary data, emerald for selection and Warm Stone for dividers. Table headers may use Obsidian Emerald with Ivory text. Numeric columns align consistently and use tabular numerals. Sorting and filtering require icons and accessible text. Brass is decorative and should not be used for row states, thresholds or chart series without direct labels.</w:t>
      </w:r>
    </w:p>
    <w:p>
      <w:pPr>
        <w:pStyle w:val="MdSpace"/>
        <w:spacing w:before="0" w:after="60"/>
      </w:pPr>
    </w:p>
    <w:p>
      <w:pPr>
        <w:pStyle w:val="Heading3"/>
        <w:pStyle w:val="MdHeading3"/>
      </w:pPr>
      <w:r>
        <w:t xml:space="preserve">Modal dialogs, drawers and toast messages</w:t>
      </w:r>
    </w:p>
    <w:p>
      <w:pPr>
        <w:pStyle w:val="MdParagraph"/>
      </w:pPr>
      <w:r>
        <w:t xml:space="preserve">Dialogs use Ivory with an Obsidian Emerald outline. A single chamfered corner is acceptable on hospitality dialogs but should be removed from payment, consent and incident flows. The backdrop may use </w:t>
      </w:r>
      <w:r>
        <w:rPr>
          <w:rStyle w:val="MdCode"/>
          <w:u w:val="single"/>
        </w:rPr>
        <w:t xml:space="preserve">rgba(6,47,42,0.72)</w:t>
      </w:r>
      <w:r>
        <w:t xml:space="preserve">. Focus management follows the same rules as Obsidian Gold.</w:t>
      </w:r>
    </w:p>
    <w:p>
      <w:pPr>
        <w:pStyle w:val="MdSpace"/>
        <w:spacing w:before="0" w:after="60"/>
      </w:pPr>
    </w:p>
    <w:p>
      <w:pPr>
        <w:pStyle w:val="MdParagraph"/>
      </w:pPr>
      <w:r>
        <w:t xml:space="preserve">Toasts use the semantic status system, not brass. Critical operational messages remain persistent. Drawers use Warm Stone or Salon Emerald according to context and must preserve a clear reading order when responsive layouts change.</w:t>
      </w:r>
    </w:p>
    <w:p>
      <w:pPr>
        <w:pStyle w:val="MdSpace"/>
        <w:spacing w:before="0" w:after="60"/>
      </w:pPr>
    </w:p>
    <w:p>
      <w:pPr>
        <w:pStyle w:val="Heading3"/>
        <w:pStyle w:val="MdHeading3"/>
      </w:pPr>
      <w:r>
        <w:t xml:space="preserve">Booking and service flows</w:t>
      </w:r>
    </w:p>
    <w:p>
      <w:pPr>
        <w:pStyle w:val="MdParagraph"/>
      </w:pPr>
      <w:r>
        <w:t xml:space="preserve">Great Wall should use the threshold motif to mark meaningful progress: arrival, selection, review and confirmation. Do not decorate every field with a portal. Event and dining imagery may be expansive, while availability, pricing, age restrictions and responsible-play information remain plain and immediately readable.</w:t>
      </w:r>
    </w:p>
    <w:p>
      <w:pPr>
        <w:pStyle w:val="MdSpace"/>
        <w:spacing w:before="0" w:after="60"/>
      </w:pPr>
    </w:p>
    <w:p>
      <w:pPr>
        <w:pStyle w:val="MdParagraph"/>
      </w:pPr>
      <w:r>
        <w:t xml:space="preserve">Eagle Star should use direct service categories, coverage information, credentials, contact routes and response expectations. The portal metaphor becomes navigation and access structure rather than decoration. Emergency and routine contact paths must be distinguished by wording, hierarchy and iconography—not color alone.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5. Responsive and content behavior</w:t>
      </w:r>
    </w:p>
    <w:p>
      <w:pPr>
        <w:pStyle w:val="Heading2"/>
        <w:pStyle w:val="MdHeading2"/>
      </w:pPr>
      <w:r>
        <w:t xml:space="preserve">5.1 Breakpoints and layout</w:t>
      </w:r>
    </w:p>
    <w:p>
      <w:pPr>
        <w:pStyle w:val="MdParagraph"/>
      </w:pPr>
      <w:r>
        <w:t xml:space="preserve">Use content-led breakpoints rather than device labels. A practical starting system is 0–599 px, 600–899 px, 900–1199 px and 1200 px+. The semantic role of a region must remain consistent across breakpoints: for example, a navigation surface remains a navigation surface even when it changes from a horizontal header to a drawer.</w:t>
      </w:r>
      <w:hyperlink w:history="1" r:id="rIdoaup_1hp9bwxnnbrbejyt">
        <w:r>
          <w:rPr>
            <w:rStyle w:val="MdLink"/>
          </w:rPr>
          <w:t xml:space="preserve">3</w:t>
        </w:r>
      </w:hyperlink>
    </w:p>
    <w:p>
      <w:pPr>
        <w:pStyle w:val="MdSpace"/>
        <w:spacing w:before="0" w:after="60"/>
      </w:pPr>
    </w:p>
    <w:p>
      <w:pPr>
        <w:pStyle w:val="MdParagraph"/>
      </w:pPr>
      <w:r>
        <w:t xml:space="preserve">On small screens, reduce decorative framing before reducing type size or control space. Preserve 16 px minimum body text, 44 px primary targets and a single-column reading order. Side-by-side comparison tables should convert to stacked records or horizontal scrolling with a visible cue.</w:t>
      </w:r>
    </w:p>
    <w:p>
      <w:pPr>
        <w:pStyle w:val="MdSpace"/>
        <w:spacing w:before="0" w:after="60"/>
      </w:pPr>
    </w:p>
    <w:p>
      <w:pPr>
        <w:pStyle w:val="Heading2"/>
        <w:pStyle w:val="MdHeading2"/>
      </w:pPr>
      <w:r>
        <w:t xml:space="preserve">5.2 Empty, loading and failure states</w:t>
      </w:r>
    </w:p>
    <w:p>
      <w:pPr>
        <w:pStyle w:val="MdParagraph"/>
      </w:pPr>
      <w:r>
        <w:t xml:space="preserve">Skeleton loading uses neutral surface tokens and no pulsing under reduced motion. Empty states state what happened and provide one relevant next action. Failure states preserve the user’s entered information wherever safe and explain recovery. Never use a metallic color, decorative portal or animated light-cut as the only feedback that a task is loading or complete.</w:t>
      </w:r>
    </w:p>
    <w:p>
      <w:pPr>
        <w:pStyle w:val="MdSpace"/>
        <w:spacing w:before="0" w:after="60"/>
      </w:pPr>
    </w:p>
    <w:p>
      <w:pPr>
        <w:pStyle w:val="Heading2"/>
        <w:pStyle w:val="MdHeading2"/>
      </w:pPr>
      <w:r>
        <w:t xml:space="preserve">5.3 Photography and media</w:t>
      </w:r>
    </w:p>
    <w:p>
      <w:pPr>
        <w:pStyle w:val="MdParagraph"/>
      </w:pPr>
      <w:r>
        <w:t xml:space="preserve">Text over photography requires a solid or sufficiently opaque surface whose final pair is contrast-tested; do not rely on a darkened image estimate. Great Wall imagery should emphasize architecture, hospitality, performance, craft and anticipation. Eagle Star imagery should show people, handovers, access procedures, communication and maintained environments. Cards, dice, jackpot flashes, shields, weapons, camouflage and staged threat scenarios are excluded.</w:t>
      </w:r>
    </w:p>
    <w:p>
      <w:pPr>
        <w:pStyle w:val="MdSpace"/>
        <w:spacing w:before="0" w:after="60"/>
      </w:pPr>
    </w:p>
    <w:p>
      <w:pPr>
        <w:pStyle w:val="MdParagraph"/>
      </w:pPr>
      <w:r>
        <w:t xml:space="preserve">Video requires captions and controls. Autoplay sound is prohibited. Large-field pan, zoom and parallax are removed when reduced motion is requested.</w:t>
      </w:r>
      <w:hyperlink w:history="1" r:id="rIdcrxh-6vy6nzzkuwbpkkb9">
        <w:r>
          <w:rPr>
            <w:rStyle w:val="MdLink"/>
          </w:rPr>
          <w:t xml:space="preserve">4</w:t>
        </w:r>
      </w:hyperlink>
    </w:p>
    <w:p>
      <w:pPr>
        <w:pStyle w:val="MdSpace"/>
        <w:spacing w:before="0" w:after="60"/>
      </w:pPr>
    </w:p>
    <w:p>
      <w:pPr>
        <w:pStyle w:val="Heading1"/>
        <w:pStyle w:val="MdHeading1"/>
      </w:pPr>
      <w:r>
        <w:t xml:space="preserve">6. Developer token examples</w:t>
      </w:r>
    </w:p>
    <w:p>
      <w:pPr>
        <w:pStyle w:val="MdParagraph"/>
      </w:pPr>
      <w:r>
        <w:t xml:space="preserve">The following examples show the intended semantic structure. They are not a substitute for a full token repository and automated contrast tests.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Obsidian Gold — dark brand mode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[data-theme="obsidian-gold-dark"]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--color-surface: #0B0B0D;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--color-surface-container: #17171A;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--color-on-surface: #F4F0E8;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--color-on-surface-variant: #B8B2A8;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--color-primary: #C7A15A;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--color-on-primary: #0B0B0D;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--color-outline: #B8B2A8;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--color-success: #70B89A;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--color-on-success: #0B0B0D;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--color-focus: #F4F0E8;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--color-error: #F2B8B5;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Emerald Neo-Deco — light operational mode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[data-theme="emerald-deco-light"]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--color-surface: #F7F1E3;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--color-surface-container: #D9D0BE;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--color-on-surface: #18231F;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--color-primary: #062F2A;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--color-on-primary: #F7F1E3;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--color-secondary: #0B4F43;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--color-on-secondary: #F7F1E3;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--color-accent: #B58A3A;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--color-on-accent: #18231F;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--color-outline: #062F2A;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--color-focus: #062F2A;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--color-error: #B3261E;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:focus-visible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outline: 2px solid var(--color-focus);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outline-offset: 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@media (prefers-reduced-motion: reduce)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*::before, *::after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scroll-behavior: auto !important;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animation-duration: 0.01ms !important;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animation-iteration-count: 1 !important;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transition-duration: 0.01ms !important;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Space"/>
        <w:spacing w:before="0" w:after="60"/>
      </w:pPr>
    </w:p>
    <w:p>
      <w:pPr>
        <w:pStyle w:val="Heading1"/>
        <w:pStyle w:val="MdHeading1"/>
      </w:pPr>
      <w:r>
        <w:t xml:space="preserve">7. Design QA and acceptance checklist</w:t>
      </w:r>
    </w:p>
    <w:p>
      <w:pPr>
        <w:pStyle w:val="MdParagraph"/>
      </w:pPr>
      <w:r>
        <w:t xml:space="preserve">Before a component is approved, confirm that:</w:t>
      </w:r>
    </w:p>
    <w:p>
      <w:pPr>
        <w:pStyle w:val="MdSpace"/>
        <w:spacing w:before="0" w:after="60"/>
      </w:pPr>
    </w:p>
    <w:p>
      <w:pPr>
        <w:pStyle w:val="MdListItem"/>
        <w:numPr>
          <w:ilvl w:val="0"/>
          <w:numId w:val="2"/>
        </w:numPr>
      </w:pPr>
      <w:r>
        <w:t xml:space="preserve">It uses semantic tokens rather than raw brand values.</w:t>
      </w:r>
    </w:p>
    <w:p>
      <w:pPr>
        <w:pStyle w:val="MdListItem"/>
        <w:numPr>
          <w:ilvl w:val="0"/>
          <w:numId w:val="2"/>
        </w:numPr>
      </w:pPr>
      <w:r>
        <w:t xml:space="preserve">Normal text meets 4.5:1 and meaningful non-text content meets 3:1.</w:t>
      </w:r>
      <w:hyperlink w:history="1" r:id="rIdyctef7wazl-ctlj9iykje">
        <w:r>
          <w:rPr>
            <w:rStyle w:val="MdLink"/>
          </w:rPr>
          <w:t xml:space="preserve">1</w:t>
        </w:r>
      </w:hyperlink>
      <w:r>
        <w:t xml:space="preserve"> </w:t>
      </w:r>
      <w:hyperlink w:history="1" r:id="rIdjasyectcvqf9-q4ta8xt9">
        <w:r>
          <w:rPr>
            <w:rStyle w:val="MdLink"/>
          </w:rPr>
          <w:t xml:space="preserve">2</w:t>
        </w:r>
      </w:hyperlink>
    </w:p>
    <w:p>
      <w:pPr>
        <w:pStyle w:val="MdListItem"/>
        <w:numPr>
          <w:ilvl w:val="0"/>
          <w:numId w:val="2"/>
        </w:numPr>
      </w:pPr>
      <w:r>
        <w:t xml:space="preserve">Gold or brass is not carrying status, selection or meaning alone.</w:t>
      </w:r>
    </w:p>
    <w:p>
      <w:pPr>
        <w:pStyle w:val="MdListItem"/>
        <w:numPr>
          <w:ilvl w:val="0"/>
          <w:numId w:val="2"/>
        </w:numPr>
      </w:pPr>
      <w:r>
        <w:t xml:space="preserve">Keyboard focus is visible, at least equivalent to a 2 px perimeter and distinct from hover.</w:t>
      </w:r>
      <w:hyperlink w:history="1" r:id="rIdu7fwcf7cd60g6y0bddqfe">
        <w:r>
          <w:rPr>
            <w:rStyle w:val="MdLink"/>
          </w:rPr>
          <w:t xml:space="preserve">8</w:t>
        </w:r>
      </w:hyperlink>
    </w:p>
    <w:p>
      <w:pPr>
        <w:pStyle w:val="MdListItem"/>
        <w:numPr>
          <w:ilvl w:val="0"/>
          <w:numId w:val="2"/>
        </w:numPr>
      </w:pPr>
      <w:r>
        <w:t xml:space="preserve">The control is 44 px where practical and never relies on a target smaller than the WCAG minimum without a valid exception.</w:t>
      </w:r>
      <w:hyperlink w:history="1" r:id="rIdkkwipyptqp11eijxeg21d">
        <w:r>
          <w:rPr>
            <w:rStyle w:val="MdLink"/>
          </w:rPr>
          <w:t xml:space="preserve">7</w:t>
        </w:r>
      </w:hyperlink>
    </w:p>
    <w:p>
      <w:pPr>
        <w:pStyle w:val="MdListItem"/>
        <w:numPr>
          <w:ilvl w:val="0"/>
          <w:numId w:val="2"/>
        </w:numPr>
      </w:pPr>
      <w:r>
        <w:t xml:space="preserve">Text labels remain visible after entry; placeholders are supplemental only.</w:t>
      </w:r>
    </w:p>
    <w:p>
      <w:pPr>
        <w:pStyle w:val="MdListItem"/>
        <w:numPr>
          <w:ilvl w:val="0"/>
          <w:numId w:val="2"/>
        </w:numPr>
      </w:pPr>
      <w:r>
        <w:t xml:space="preserve">Error, success, warning and information states include text and an icon or shape.</w:t>
      </w:r>
    </w:p>
    <w:p>
      <w:pPr>
        <w:pStyle w:val="MdListItem"/>
        <w:numPr>
          <w:ilvl w:val="0"/>
          <w:numId w:val="2"/>
        </w:numPr>
      </w:pPr>
      <w:r>
        <w:t xml:space="preserve">The component works at 200% text zoom and in a 320 CSS-px-wide reflow context.</w:t>
      </w:r>
    </w:p>
    <w:p>
      <w:pPr>
        <w:pStyle w:val="MdListItem"/>
        <w:numPr>
          <w:ilvl w:val="0"/>
          <w:numId w:val="2"/>
        </w:numPr>
      </w:pPr>
      <w:r>
        <w:t xml:space="preserve">Reduced-motion mode removes nonessential movement without removing information.</w:t>
      </w:r>
      <w:hyperlink w:history="1" r:id="rIdcj3crjioffe7mqyenb88w">
        <w:r>
          <w:rPr>
            <w:rStyle w:val="MdLink"/>
          </w:rPr>
          <w:t xml:space="preserve">4</w:t>
        </w:r>
      </w:hyperlink>
    </w:p>
    <w:p>
      <w:pPr>
        <w:pStyle w:val="MdListItem"/>
        <w:numPr>
          <w:ilvl w:val="0"/>
          <w:numId w:val="2"/>
        </w:numPr>
      </w:pPr>
      <w:r>
        <w:t xml:space="preserve">The physical color has been proofed on the intended coated/uncoated stock, fabric, vinyl, paint, foil or illuminated sign.</w:t>
      </w:r>
      <w:hyperlink w:history="1" r:id="rIdjmvrazinonjivz5_xa67r">
        <w:r>
          <w:rPr>
            <w:rStyle w:val="MdLink"/>
          </w:rPr>
          <w:t xml:space="preserve">5</w:t>
        </w:r>
      </w:hyperlink>
      <w:r>
        <w:t xml:space="preserve"> </w:t>
      </w:r>
      <w:hyperlink w:history="1" r:id="rIdql7xashi56u0ss3u0b_0j">
        <w:r>
          <w:rPr>
            <w:rStyle w:val="MdLink"/>
          </w:rPr>
          <w:t xml:space="preserve">6</w:t>
        </w:r>
      </w:hyperlink>
    </w:p>
    <w:p>
      <w:pPr>
        <w:pStyle w:val="MdListItem"/>
        <w:numPr>
          <w:ilvl w:val="0"/>
          <w:numId w:val="2"/>
        </w:numPr>
      </w:pPr>
      <w:r>
        <w:t xml:space="preserve">Casino and security variants change imagery, tempo and density without changing core component behavior.</w:t>
      </w:r>
    </w:p>
    <w:p>
      <w:pPr>
        <w:pStyle w:val="MdListItem"/>
        <w:numPr>
          <w:ilvl w:val="0"/>
          <w:numId w:val="2"/>
        </w:numPr>
      </w:pPr>
      <w:r>
        <w:t xml:space="preserve">No prohibited category clichés or fictional operational data have been introduced.</w:t>
      </w:r>
    </w:p>
    <w:p>
      <w:pPr>
        <w:pStyle w:val="MdSpace"/>
        <w:spacing w:before="0" w:after="60"/>
      </w:pPr>
    </w:p>
    <w:p>
      <w:pPr>
        <w:pStyle w:val="Heading1"/>
        <w:pStyle w:val="MdHeading1"/>
      </w:pPr>
      <w:r>
        <w:t xml:space="preserve">8. Recommended next production step</w:t>
      </w:r>
    </w:p>
    <w:p>
      <w:pPr>
        <w:pStyle w:val="MdParagraph"/>
      </w:pPr>
      <w:r>
        <w:t xml:space="preserve">Build a compact component proof for both directions containing: desktop and mobile navigation, primary/secondary buttons, a booking or enquiry form, cards, tabs, accordion, status alert, table, modal and confirmation state. Test the proof in four contexts: </w:t>
      </w:r>
      <w:r>
        <w:rPr>
          <w:rStyle w:val="MdStrong"/>
          <w:b/>
          <w:bCs/>
        </w:rPr>
        <w:t xml:space="preserve">Great Wall marketing</w:t>
      </w:r>
      <w:r>
        <w:t xml:space="preserve">, </w:t>
      </w:r>
      <w:r>
        <w:rPr>
          <w:rStyle w:val="MdStrong"/>
          <w:b/>
          <w:bCs/>
        </w:rPr>
        <w:t xml:space="preserve">Great Wall booking</w:t>
      </w:r>
      <w:r>
        <w:t xml:space="preserve">, </w:t>
      </w:r>
      <w:r>
        <w:rPr>
          <w:rStyle w:val="MdStrong"/>
          <w:b/>
          <w:bCs/>
        </w:rPr>
        <w:t xml:space="preserve">Eagle Star public service</w:t>
      </w:r>
      <w:r>
        <w:t xml:space="preserve">, and </w:t>
      </w:r>
      <w:r>
        <w:rPr>
          <w:rStyle w:val="MdStrong"/>
          <w:b/>
          <w:bCs/>
        </w:rPr>
        <w:t xml:space="preserve">Eagle Star operational/contact flow</w:t>
      </w:r>
      <w:r>
        <w:t xml:space="preserve">. Simultaneously request coated, uncoated, embroidery, vinyl and metallic samples for the proposed Pantone starting points. The digital and physical systems should be approved together, but maintained as separate specifications.</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g7pjpodhumkmijn44vsv" Type="http://schemas.openxmlformats.org/officeDocument/2006/relationships/hyperlink" Target="https://www.pantone.com/na/en-us/articles/technical/color-bridge-the-graphic-designers-best-friend" TargetMode="External"/><Relationship Id="rIdawi5stc3rs5c0crg2wn1u" Type="http://schemas.openxmlformats.org/officeDocument/2006/relationships/hyperlink" Target="https://www.pantone.com/na/en-us/pantone-connect" TargetMode="External"/><Relationship Id="rIdxvbtalvpqcu7q1szmt-ob" Type="http://schemas.openxmlformats.org/officeDocument/2006/relationships/hyperlink" Target="https://m3.material.io/styles/color/roles" TargetMode="External"/><Relationship Id="rId0r19w6qjeriq-pmsqctro" Type="http://schemas.openxmlformats.org/officeDocument/2006/relationships/hyperlink" Target="https://www.w3.org/WAI/WCAG22/Understanding/contrast-minimum.html" TargetMode="External"/><Relationship Id="rIdceh8x6-p25eljorva3qgl" Type="http://schemas.openxmlformats.org/officeDocument/2006/relationships/hyperlink" Target="https://www.w3.org/WAI/WCAG22/Understanding/non-text-contrast.html" TargetMode="External"/><Relationship Id="rIddsbnfs8tkemk3_p5jo_la" Type="http://schemas.openxmlformats.org/officeDocument/2006/relationships/hyperlink" Target="https://www.w3.org/WAI/WCAG22/Understanding/contrast-minimum.html" TargetMode="External"/><Relationship Id="rIdk1kswbymf-q687xrqramb" Type="http://schemas.openxmlformats.org/officeDocument/2006/relationships/hyperlink" Target="https://www.w3.org/WAI/WCAG22/Understanding/target-size-minimum.html" TargetMode="External"/><Relationship Id="rIdlcqspvfu08odostlsp7ss" Type="http://schemas.openxmlformats.org/officeDocument/2006/relationships/hyperlink" Target="https://www.w3.org/WAI/WCAG22/Understanding/focus-appearance.html" TargetMode="External"/><Relationship Id="rIdrv4f6yjvzrwjpzb9yjkiy" Type="http://schemas.openxmlformats.org/officeDocument/2006/relationships/hyperlink" Target="https://developer.mozilla.org/en-US/docs/Web/CSS/@media/prefers-reduced-motion" TargetMode="External"/><Relationship Id="rIdoaup_1hp9bwxnnbrbejyt" Type="http://schemas.openxmlformats.org/officeDocument/2006/relationships/hyperlink" Target="https://m3.material.io/styles/color/roles" TargetMode="External"/><Relationship Id="rIdcrxh-6vy6nzzkuwbpkkb9" Type="http://schemas.openxmlformats.org/officeDocument/2006/relationships/hyperlink" Target="https://developer.mozilla.org/en-US/docs/Web/CSS/@media/prefers-reduced-motion" TargetMode="External"/><Relationship Id="rIdyctef7wazl-ctlj9iykje" Type="http://schemas.openxmlformats.org/officeDocument/2006/relationships/hyperlink" Target="https://www.w3.org/WAI/WCAG22/Understanding/contrast-minimum.html" TargetMode="External"/><Relationship Id="rIdjasyectcvqf9-q4ta8xt9" Type="http://schemas.openxmlformats.org/officeDocument/2006/relationships/hyperlink" Target="https://www.w3.org/WAI/WCAG22/Understanding/non-text-contrast.html" TargetMode="External"/><Relationship Id="rIdu7fwcf7cd60g6y0bddqfe" Type="http://schemas.openxmlformats.org/officeDocument/2006/relationships/hyperlink" Target="https://www.w3.org/WAI/WCAG22/Understanding/focus-appearance.html" TargetMode="External"/><Relationship Id="rIdkkwipyptqp11eijxeg21d" Type="http://schemas.openxmlformats.org/officeDocument/2006/relationships/hyperlink" Target="https://www.w3.org/WAI/WCAG22/Understanding/target-size-minimum.html" TargetMode="External"/><Relationship Id="rIdcj3crjioffe7mqyenb88w" Type="http://schemas.openxmlformats.org/officeDocument/2006/relationships/hyperlink" Target="https://developer.mozilla.org/en-US/docs/Web/CSS/@media/prefers-reduced-motion" TargetMode="External"/><Relationship Id="rIdjmvrazinonjivz5_xa67r" Type="http://schemas.openxmlformats.org/officeDocument/2006/relationships/hyperlink" Target="https://www.pantone.com/na/en-us/articles/technical/color-bridge-the-graphic-designers-best-friend" TargetMode="External"/><Relationship Id="rIdql7xashi56u0ss3u0b_0j" Type="http://schemas.openxmlformats.org/officeDocument/2006/relationships/hyperlink" Target="https://www.pantone.com/na/en-us/pantone-connect" TargetMode="External"/><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2026-08-20T14:12:24.081Z</dcterms:created>
  <dcterms:modified xsi:type="dcterms:W3CDTF">2026-08-20T14:12:24.081Z</dcterms:modified>
</cp:coreProperties>
</file>

<file path=docProps/custom.xml><?xml version="1.0" encoding="utf-8"?>
<Properties xmlns="http://schemas.openxmlformats.org/officeDocument/2006/custom-properties" xmlns:vt="http://schemas.openxmlformats.org/officeDocument/2006/docPropsVTypes"/>
</file>