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Organic TikTok and Instagram Strategy for South African Peptide Education</w:t>
      </w:r>
    </w:p>
    <w:p>
      <w:pPr>
        <w:pStyle w:val="Heading2"/>
        <w:pStyle w:val="MdHeading2"/>
      </w:pPr>
      <w:r>
        <w:t xml:space="preserve">Important boundary</w:t>
      </w:r>
    </w:p>
    <w:p>
      <w:pPr>
        <w:pStyle w:val="MdParagraph"/>
      </w:pPr>
      <w:r>
        <w:t xml:space="preserve">Organic content is not a policy loophole. Do not disguise a restricted product, use “education” as a pretext for an undisclosed sales funnel, move conversations into private messages to avoid review, or use unbranded accounts that conceal the commercial entity. Meta’s policies still apply to organic and paid activity, and Meta distinguishes genuine educational or public-awareness content from promotion of sale or consumption </w:t>
      </w:r>
      <w:hyperlink w:history="1" r:id="rIdmtmhbkj8ergdekgdzepgw">
        <w:r>
          <w:rPr>
            <w:rStyle w:val="MdLink"/>
          </w:rPr>
          <w:t xml:space="preserve">1</w:t>
        </w:r>
      </w:hyperlink>
      <w:r>
        <w:t xml:space="preserve">. TikTok’s healthcare, pharmaceuticals, regulated-goods, and branded-content rules should also be checked for the exact country, account, product, creator, and destination before publishing </w:t>
      </w:r>
      <w:hyperlink w:history="1" r:id="rIdmycu2kwl687ckj-fbgtks">
        <w:r>
          <w:rPr>
            <w:rStyle w:val="MdLink"/>
          </w:rPr>
          <w:t xml:space="preserve">2</w:t>
        </w:r>
      </w:hyperlink>
      <w:r>
        <w:t xml:space="preserve">.</w:t>
      </w:r>
    </w:p>
    <w:p>
      <w:pPr>
        <w:pStyle w:val="MdSpace"/>
        <w:spacing w:before="0" w:after="60"/>
      </w:pPr>
    </w:p>
    <w:p>
      <w:pPr>
        <w:pStyle w:val="MdParagraph"/>
      </w:pPr>
      <w:r>
        <w:t xml:space="preserve">The compliant strategy is to build a </w:t>
      </w:r>
      <w:r>
        <w:rPr>
          <w:rStyle w:val="MdStrong"/>
          <w:b/>
          <w:bCs/>
        </w:rPr>
        <w:t xml:space="preserve">transparent education and community brand</w:t>
      </w:r>
      <w:r>
        <w:t xml:space="preserve"> that earns attention, answers real questions, and sends people to a page that accurately describes the same educational, consultation, cosmetic, or research-service offer shown in the content.</w:t>
      </w:r>
    </w:p>
    <w:p>
      <w:pPr>
        <w:pStyle w:val="MdSpace"/>
        <w:spacing w:before="0" w:after="60"/>
      </w:pPr>
    </w:p>
    <w:p>
      <w:pPr>
        <w:pStyle w:val="Heading2"/>
        <w:pStyle w:val="MdHeading2"/>
      </w:pPr>
      <w:r>
        <w:t xml:space="preserve">Strategic objective</w:t>
      </w:r>
    </w:p>
    <w:p>
      <w:pPr>
        <w:pStyle w:val="MdParagraph"/>
      </w:pPr>
      <w:r>
        <w:t xml:space="preserve">The goal is not simply to “go viral.” It is to capture people already researching peptides, semaglutide, research-use-only products, COAs, cold-chain handling, and provider safety, then move them to an appropriate next step:</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Audience intent</w:t>
            </w:r>
          </w:p>
        </w:tc>
        <w:tc>
          <w:tcPr>
            <w:tcMar>
              <w:top w:type="dxa" w:w="100"/>
              <w:left w:type="dxa" w:w="120"/>
              <w:bottom w:type="dxa" w:w="100"/>
              <w:right w:type="dxa" w:w="120"/>
            </w:tcMar>
            <w:vAlign w:val="center"/>
          </w:tcPr>
          <w:p>
            <w:pPr>
              <w:pStyle w:val="MdTableHeader"/>
            </w:pPr>
            <w:r>
              <w:t xml:space="preserve">Appropriate organic content</w:t>
            </w:r>
          </w:p>
        </w:tc>
        <w:tc>
          <w:tcPr>
            <w:tcBorders>
              <w:right w:val="none"/>
            </w:tcBorders>
            <w:tcMar>
              <w:top w:type="dxa" w:w="100"/>
              <w:left w:type="dxa" w:w="120"/>
              <w:bottom w:type="dxa" w:w="100"/>
              <w:right w:type="dxa" w:w="120"/>
            </w:tcMar>
            <w:vAlign w:val="center"/>
          </w:tcPr>
          <w:p>
            <w:pPr>
              <w:pStyle w:val="MdTableHeader"/>
            </w:pPr>
            <w:r>
              <w:t xml:space="preserve">Transparent next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Curious beginner</w:t>
            </w:r>
          </w:p>
        </w:tc>
        <w:tc>
          <w:tcPr>
            <w:tcMar>
              <w:top w:type="dxa" w:w="80"/>
              <w:left w:type="dxa" w:w="120"/>
              <w:bottom w:type="dxa" w:w="80"/>
              <w:right w:type="dxa" w:w="120"/>
            </w:tcMar>
            <w:vAlign w:val="center"/>
          </w:tcPr>
          <w:p>
            <w:pPr>
              <w:pStyle w:val="MdTableCell"/>
            </w:pPr>
            <w:r>
              <w:t xml:space="preserve">What peptides are, what the term does and does not mean</w:t>
            </w:r>
          </w:p>
        </w:tc>
        <w:tc>
          <w:tcPr>
            <w:tcBorders>
              <w:right w:val="none"/>
            </w:tcBorders>
            <w:tcMar>
              <w:top w:type="dxa" w:w="80"/>
              <w:left w:type="dxa" w:w="120"/>
              <w:bottom w:type="dxa" w:w="80"/>
              <w:right w:type="dxa" w:w="120"/>
            </w:tcMar>
            <w:vAlign w:val="center"/>
          </w:tcPr>
          <w:p>
            <w:pPr>
              <w:pStyle w:val="MdTableCell"/>
            </w:pPr>
            <w:r>
              <w:t xml:space="preserve">Read the beginner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Safety-conscious researcher</w:t>
            </w:r>
          </w:p>
        </w:tc>
        <w:tc>
          <w:tcPr>
            <w:tcMar>
              <w:top w:type="dxa" w:w="80"/>
              <w:left w:type="dxa" w:w="120"/>
              <w:bottom w:type="dxa" w:w="80"/>
              <w:right w:type="dxa" w:w="120"/>
            </w:tcMar>
            <w:vAlign w:val="center"/>
          </w:tcPr>
          <w:p>
            <w:pPr>
              <w:pStyle w:val="MdTableCell"/>
            </w:pPr>
            <w:r>
              <w:t xml:space="preserve">How to verify a provider, batch, COA, storage, and business identity</w:t>
            </w:r>
          </w:p>
        </w:tc>
        <w:tc>
          <w:tcPr>
            <w:tcBorders>
              <w:right w:val="none"/>
            </w:tcBorders>
            <w:tcMar>
              <w:top w:type="dxa" w:w="80"/>
              <w:left w:type="dxa" w:w="120"/>
              <w:bottom w:type="dxa" w:w="80"/>
              <w:right w:type="dxa" w:w="120"/>
            </w:tcMar>
            <w:vAlign w:val="center"/>
          </w:tcPr>
          <w:p>
            <w:pPr>
              <w:pStyle w:val="MdTableCell"/>
            </w:pPr>
            <w:r>
              <w:t xml:space="preserve">View the verification checklist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Treatment seeker</w:t>
            </w:r>
          </w:p>
        </w:tc>
        <w:tc>
          <w:tcPr>
            <w:tcMar>
              <w:top w:type="dxa" w:w="80"/>
              <w:left w:type="dxa" w:w="120"/>
              <w:bottom w:type="dxa" w:w="80"/>
              <w:right w:type="dxa" w:w="120"/>
            </w:tcMar>
            <w:vAlign w:val="center"/>
          </w:tcPr>
          <w:p>
            <w:pPr>
              <w:pStyle w:val="MdTableCell"/>
            </w:pPr>
            <w:r>
              <w:t xml:space="preserve">How a lawful consultation and eligibility review works</w:t>
            </w:r>
          </w:p>
        </w:tc>
        <w:tc>
          <w:tcPr>
            <w:tcBorders>
              <w:right w:val="none"/>
            </w:tcBorders>
            <w:tcMar>
              <w:top w:type="dxa" w:w="80"/>
              <w:left w:type="dxa" w:w="120"/>
              <w:bottom w:type="dxa" w:w="80"/>
              <w:right w:type="dxa" w:w="120"/>
            </w:tcMar>
            <w:vAlign w:val="center"/>
          </w:tcPr>
          <w:p>
            <w:pPr>
              <w:pStyle w:val="MdTableCell"/>
            </w:pPr>
            <w:r>
              <w:t xml:space="preserve">Request an assessment, if genuinely available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buyer</w:t>
            </w:r>
          </w:p>
        </w:tc>
        <w:tc>
          <w:tcPr>
            <w:tcMar>
              <w:top w:type="dxa" w:w="80"/>
              <w:left w:type="dxa" w:w="120"/>
              <w:bottom w:type="dxa" w:w="80"/>
              <w:right w:type="dxa" w:w="120"/>
            </w:tcMar>
            <w:vAlign w:val="center"/>
          </w:tcPr>
          <w:p>
            <w:pPr>
              <w:pStyle w:val="MdTableCell"/>
            </w:pPr>
            <w:r>
              <w:t xml:space="preserve">Research-use-only terminology, documentation, storage, and institutional purchasing</w:t>
            </w:r>
          </w:p>
        </w:tc>
        <w:tc>
          <w:tcPr>
            <w:tcBorders>
              <w:right w:val="none"/>
            </w:tcBorders>
            <w:tcMar>
              <w:top w:type="dxa" w:w="80"/>
              <w:left w:type="dxa" w:w="120"/>
              <w:bottom w:type="dxa" w:w="80"/>
              <w:right w:type="dxa" w:w="120"/>
            </w:tcMar>
            <w:vAlign w:val="center"/>
          </w:tcPr>
          <w:p>
            <w:pPr>
              <w:pStyle w:val="MdTableCell"/>
            </w:pPr>
            <w:r>
              <w:t xml:space="preserve">Request a research quotation, if that is the actual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Cosmetic shopper</w:t>
            </w:r>
          </w:p>
        </w:tc>
        <w:tc>
          <w:tcPr>
            <w:tcMar>
              <w:top w:type="dxa" w:w="80"/>
              <w:left w:type="dxa" w:w="120"/>
              <w:bottom w:type="dxa" w:w="80"/>
              <w:right w:type="dxa" w:w="120"/>
            </w:tcMar>
            <w:vAlign w:val="center"/>
          </w:tcPr>
          <w:p>
            <w:pPr>
              <w:pStyle w:val="MdTableCell"/>
            </w:pPr>
            <w:r>
              <w:t xml:space="preserve">Ingredient, formulation, usage, testing, and skin-care information</w:t>
            </w:r>
          </w:p>
        </w:tc>
        <w:tc>
          <w:tcPr>
            <w:tcBorders>
              <w:right w:val="none"/>
            </w:tcBorders>
            <w:tcMar>
              <w:top w:type="dxa" w:w="80"/>
              <w:left w:type="dxa" w:w="120"/>
              <w:bottom w:type="dxa" w:w="80"/>
              <w:right w:type="dxa" w:w="120"/>
            </w:tcMar>
            <w:vAlign w:val="center"/>
          </w:tcPr>
          <w:p>
            <w:pPr>
              <w:pStyle w:val="MdTableCell"/>
            </w:pPr>
            <w:r>
              <w:t xml:space="preserve">View the cosmetic product 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High-risk or urgent user</w:t>
            </w:r>
          </w:p>
        </w:tc>
        <w:tc>
          <w:tcPr>
            <w:tcBorders>
              <w:bottom w:val="single" w:color="E1E4E8" w:sz="4"/>
            </w:tcBorders>
            <w:tcMar>
              <w:top w:type="dxa" w:w="80"/>
              <w:left w:type="dxa" w:w="120"/>
              <w:bottom w:type="dxa" w:w="80"/>
              <w:right w:type="dxa" w:w="120"/>
            </w:tcMar>
            <w:vAlign w:val="center"/>
          </w:tcPr>
          <w:p>
            <w:pPr>
              <w:pStyle w:val="MdTableCell"/>
            </w:pPr>
            <w:r>
              <w:t xml:space="preserve">General safety signposting, not diagnosis or dosing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Contact a qualified professional or emergency service</w:t>
            </w:r>
          </w:p>
        </w:tc>
      </w:tr>
    </w:tbl>
    <w:p>
      <w:pPr>
        <w:pStyle w:val="MdParagraph"/>
      </w:pPr>
      <w:r>
        <w:t xml:space="preserve">Do not ask people to reveal diagnoses, medication lists, pregnancy status, symptoms, or body measurements in public comments or DMs. Direct sensitive questions to a secure, appropriate professional process.</w:t>
      </w:r>
    </w:p>
    <w:p>
      <w:pPr>
        <w:pStyle w:val="MdSpace"/>
        <w:spacing w:before="0" w:after="60"/>
      </w:pPr>
    </w:p>
    <w:p>
      <w:pPr>
        <w:pStyle w:val="Heading2"/>
        <w:pStyle w:val="MdHeading2"/>
      </w:pPr>
      <w:r>
        <w:t xml:space="preserve">Positioning</w:t>
      </w:r>
    </w:p>
    <w:p>
      <w:pPr>
        <w:pStyle w:val="MdParagraph"/>
      </w:pPr>
      <w:r>
        <w:t xml:space="preserve">Use a clear account identity such as:</w:t>
      </w:r>
    </w:p>
    <w:p>
      <w:pPr>
        <w:pStyle w:val="MdSpace"/>
        <w:spacing w:before="0" w:after="60"/>
      </w:pPr>
    </w:p>
    <w:p>
      <w:pPr>
        <w:pStyle w:val="MdBlockquote"/>
      </w:pPr>
      <w:r>
        <w:rPr>
          <w:rStyle w:val="MdStrong"/>
          <w:b/>
          <w:bCs/>
        </w:rPr>
        <w:t xml:space="preserve">Independent South African peptide education and provider-transparency resource.</w:t>
      </w:r>
    </w:p>
    <w:p>
      <w:pPr>
        <w:pStyle w:val="MdSpace"/>
        <w:spacing w:before="0" w:after="60"/>
      </w:pPr>
    </w:p>
    <w:p>
      <w:pPr>
        <w:pStyle w:val="MdParagraph"/>
      </w:pPr>
      <w:r>
        <w:t xml:space="preserve">If the account belongs to a clinic, supplier, retailer, or commercial brand, state that clearly in the bio, website, creator disclosures, and relevant posts. The audience should understand who is speaking, what the business does, and whether content is educational, commercial, sponsored, or medically reviewed.</w:t>
      </w:r>
    </w:p>
    <w:p>
      <w:pPr>
        <w:pStyle w:val="MdSpace"/>
        <w:spacing w:before="0" w:after="60"/>
      </w:pPr>
    </w:p>
    <w:p>
      <w:pPr>
        <w:pStyle w:val="MdParagraph"/>
      </w:pPr>
      <w:r>
        <w:t xml:space="preserve">A suitable bio structure is:</w:t>
      </w:r>
    </w:p>
    <w:p>
      <w:pPr>
        <w:pStyle w:val="MdSpace"/>
        <w:spacing w:before="0" w:after="60"/>
      </w:pPr>
    </w:p>
    <w:p>
      <w:pPr>
        <w:pStyle w:val="MdBlockquote"/>
      </w:pPr>
      <w:r>
        <w:t xml:space="preserve">South African peptide education and process information. Evidence, product status, sourcing and safety questions. Educational content only. Consultation or research enquiries: [link].</w:t>
      </w:r>
    </w:p>
    <w:p>
      <w:pPr>
        <w:pStyle w:val="MdSpace"/>
        <w:spacing w:before="0" w:after="60"/>
      </w:pPr>
    </w:p>
    <w:p>
      <w:pPr>
        <w:pStyle w:val="MdParagraph"/>
      </w:pPr>
      <w:r>
        <w:t xml:space="preserve">Only include “clinician-led,” “pharmacy supplied,” “third-party tested,” “SAHPRA-approved,” or similar wording if the business can substantiate it for the exact product and service.</w:t>
      </w:r>
    </w:p>
    <w:p>
      <w:pPr>
        <w:pStyle w:val="MdSpace"/>
        <w:spacing w:before="0" w:after="60"/>
      </w:pPr>
    </w:p>
    <w:p>
      <w:pPr>
        <w:pStyle w:val="Heading1"/>
        <w:pStyle w:val="MdHeading1"/>
      </w:pPr>
      <w:r>
        <w:t xml:space="preserve">Content pillars</w:t>
      </w:r>
    </w:p>
    <w:p>
      <w:pPr>
        <w:pStyle w:val="Heading2"/>
        <w:pStyle w:val="MdHeading2"/>
      </w:pPr>
      <w:r>
        <w:t xml:space="preserve">1. Peptide literacy</w:t>
      </w:r>
    </w:p>
    <w:p>
      <w:pPr>
        <w:pStyle w:val="MdParagraph"/>
      </w:pPr>
      <w:r>
        <w:t xml:space="preserve">Explain basic terms in plain language: peptide versus protein, regulated medicine versus research material, compounded versus manufactured product, GLP-1 terminology, prescription requirement, topical versus injectable formulation, and what “research use only” actually means.</w:t>
      </w:r>
    </w:p>
    <w:p>
      <w:pPr>
        <w:pStyle w:val="MdSpace"/>
        <w:spacing w:before="0" w:after="60"/>
      </w:pPr>
    </w:p>
    <w:p>
      <w:pPr>
        <w:pStyle w:val="MdParagraph"/>
      </w:pPr>
      <w:r>
        <w:t xml:space="preserve">Example short-form hooks:</w:t>
      </w:r>
    </w:p>
    <w:p>
      <w:pPr>
        <w:pStyle w:val="MdSpace"/>
        <w:spacing w:before="0" w:after="60"/>
      </w:pPr>
    </w:p>
    <w:p>
      <w:pPr>
        <w:pStyle w:val="MdListItem"/>
        <w:numPr>
          <w:ilvl w:val="0"/>
          <w:numId w:val="2"/>
        </w:numPr>
      </w:pPr>
      <w:r>
        <w:t xml:space="preserve">“The word peptide does not automatically mean safe, natural or proven.”</w:t>
      </w:r>
    </w:p>
    <w:p>
      <w:pPr>
        <w:pStyle w:val="MdListItem"/>
        <w:numPr>
          <w:ilvl w:val="0"/>
          <w:numId w:val="2"/>
        </w:numPr>
      </w:pPr>
      <w:r>
        <w:t xml:space="preserve">“Three questions to ask before you buy any research compound.”</w:t>
      </w:r>
    </w:p>
    <w:p>
      <w:pPr>
        <w:pStyle w:val="MdListItem"/>
        <w:numPr>
          <w:ilvl w:val="0"/>
          <w:numId w:val="2"/>
        </w:numPr>
      </w:pPr>
      <w:r>
        <w:t xml:space="preserve">“What does ‘research use only’ mean in South Africa?”</w:t>
      </w:r>
    </w:p>
    <w:p>
      <w:pPr>
        <w:pStyle w:val="MdListItem"/>
        <w:numPr>
          <w:ilvl w:val="0"/>
          <w:numId w:val="2"/>
        </w:numPr>
      </w:pPr>
      <w:r>
        <w:t xml:space="preserve">“A peptide name is not the same thing as product approval.”</w:t>
      </w:r>
    </w:p>
    <w:p>
      <w:pPr>
        <w:pStyle w:val="MdSpace"/>
        <w:spacing w:before="0" w:after="60"/>
      </w:pPr>
    </w:p>
    <w:p>
      <w:pPr>
        <w:pStyle w:val="Heading2"/>
        <w:pStyle w:val="MdHeading2"/>
      </w:pPr>
      <w:r>
        <w:t xml:space="preserve">2. Evidence versus hype</w:t>
      </w:r>
    </w:p>
    <w:p>
      <w:pPr>
        <w:pStyle w:val="MdParagraph"/>
      </w:pPr>
      <w:r>
        <w:t xml:space="preserve">Create balanced explainers that label the evidence level: approved human use where verified, human clinical evidence, early clinical research, animal or laboratory research, and marketing claim with insufficient evidence. State uncertainty rather than filling it with promises.</w:t>
      </w:r>
    </w:p>
    <w:p>
      <w:pPr>
        <w:pStyle w:val="MdSpace"/>
        <w:spacing w:before="0" w:after="60"/>
      </w:pPr>
    </w:p>
    <w:p>
      <w:pPr>
        <w:pStyle w:val="MdParagraph"/>
      </w:pPr>
      <w:r>
        <w:t xml:space="preserve">Avoid saying that BPC-157 heals an injury, that GHK-Cu reverses ageing, or that a product guarantees fat loss. Instead say: “This compound is discussed in preclinical or early research; the evidence and legal status depend on the specific product and use.”</w:t>
      </w:r>
    </w:p>
    <w:p>
      <w:pPr>
        <w:pStyle w:val="MdSpace"/>
        <w:spacing w:before="0" w:after="60"/>
      </w:pPr>
    </w:p>
    <w:p>
      <w:pPr>
        <w:pStyle w:val="Heading2"/>
        <w:pStyle w:val="MdHeading2"/>
      </w:pPr>
      <w:r>
        <w:t xml:space="preserve">3. Provider and product verification</w:t>
      </w:r>
    </w:p>
    <w:p>
      <w:pPr>
        <w:pStyle w:val="MdParagraph"/>
      </w:pPr>
      <w:r>
        <w:t xml:space="preserve">This is the strongest differentiation opportunity. Show viewers how to verify a business identity, responsible professional, product status, batch number, COA, storage instructions, delivery process, refund terms, and complaints route.</w:t>
      </w:r>
    </w:p>
    <w:p>
      <w:pPr>
        <w:pStyle w:val="MdSpace"/>
        <w:spacing w:before="0" w:after="60"/>
      </w:pPr>
    </w:p>
    <w:p>
      <w:pPr>
        <w:pStyle w:val="MdParagraph"/>
      </w:pPr>
      <w:r>
        <w:t xml:space="preserve">A recurring series could be titled </w:t>
      </w:r>
      <w:r>
        <w:rPr>
          <w:rStyle w:val="MdStrong"/>
          <w:b/>
          <w:bCs/>
        </w:rPr>
        <w:t xml:space="preserve">“Before You Order”</w:t>
      </w:r>
      <w:r>
        <w:t xml:space="preserve">:</w:t>
      </w:r>
    </w:p>
    <w:p>
      <w:pPr>
        <w:pStyle w:val="MdSpace"/>
        <w:spacing w:before="0" w:after="60"/>
      </w:pPr>
    </w:p>
    <w:p>
      <w:pPr>
        <w:pStyle w:val="MdListItem"/>
        <w:numPr>
          <w:ilvl w:val="0"/>
          <w:numId w:val="2"/>
        </w:numPr>
      </w:pPr>
      <w:r>
        <w:t xml:space="preserve">“Can you identify the legal business entity?”</w:t>
      </w:r>
    </w:p>
    <w:p>
      <w:pPr>
        <w:pStyle w:val="MdListItem"/>
        <w:numPr>
          <w:ilvl w:val="0"/>
          <w:numId w:val="2"/>
        </w:numPr>
      </w:pPr>
      <w:r>
        <w:t xml:space="preserve">“Can you see a real physical address and contact route?”</w:t>
      </w:r>
    </w:p>
    <w:p>
      <w:pPr>
        <w:pStyle w:val="MdListItem"/>
        <w:numPr>
          <w:ilvl w:val="0"/>
          <w:numId w:val="2"/>
        </w:numPr>
      </w:pPr>
      <w:r>
        <w:t xml:space="preserve">“Does the COA match the batch you receive?”</w:t>
      </w:r>
    </w:p>
    <w:p>
      <w:pPr>
        <w:pStyle w:val="MdListItem"/>
        <w:numPr>
          <w:ilvl w:val="0"/>
          <w:numId w:val="2"/>
        </w:numPr>
      </w:pPr>
      <w:r>
        <w:t xml:space="preserve">“Is the product being sold for research or human use?”</w:t>
      </w:r>
    </w:p>
    <w:p>
      <w:pPr>
        <w:pStyle w:val="MdListItem"/>
        <w:numPr>
          <w:ilvl w:val="0"/>
          <w:numId w:val="2"/>
        </w:numPr>
      </w:pPr>
      <w:r>
        <w:t xml:space="preserve">“Who is responsible for the consultation and follow-up?”</w:t>
      </w:r>
    </w:p>
    <w:p>
      <w:pPr>
        <w:pStyle w:val="MdSpace"/>
        <w:spacing w:before="0" w:after="60"/>
      </w:pPr>
    </w:p>
    <w:p>
      <w:pPr>
        <w:pStyle w:val="Heading2"/>
        <w:pStyle w:val="MdHeading2"/>
      </w:pPr>
      <w:r>
        <w:t xml:space="preserve">4. Consultation and process transparency</w:t>
      </w:r>
    </w:p>
    <w:p>
      <w:pPr>
        <w:pStyle w:val="MdParagraph"/>
      </w:pPr>
      <w:r>
        <w:t xml:space="preserve">If the business genuinely offers a lawful clinician-led service, explain the process without promising an outcome: enquiry, history, assessment, eligibility, discussion of options, prescription or recommendation where lawful, fulfilment, monitoring, and follow-up.</w:t>
      </w:r>
    </w:p>
    <w:p>
      <w:pPr>
        <w:pStyle w:val="MdSpace"/>
        <w:spacing w:before="0" w:after="60"/>
      </w:pPr>
    </w:p>
    <w:p>
      <w:pPr>
        <w:pStyle w:val="MdParagraph"/>
      </w:pPr>
      <w:r>
        <w:t xml:space="preserve">Use process footage such as a consultation-room exterior, documentation checklist, temperature-monitoring equipment, or a generic booking walk-through. Do not film identifiable patient records, prescriptions, injection demonstrations, or private health information.</w:t>
      </w:r>
    </w:p>
    <w:p>
      <w:pPr>
        <w:pStyle w:val="MdSpace"/>
        <w:spacing w:before="0" w:after="60"/>
      </w:pPr>
    </w:p>
    <w:p>
      <w:pPr>
        <w:pStyle w:val="Heading2"/>
        <w:pStyle w:val="MdHeading2"/>
      </w:pPr>
      <w:r>
        <w:t xml:space="preserve">5. South African context</w:t>
      </w:r>
    </w:p>
    <w:p>
      <w:pPr>
        <w:pStyle w:val="MdParagraph"/>
      </w:pPr>
      <w:r>
        <w:t xml:space="preserve">Create local content around questions users actually search:</w:t>
      </w:r>
    </w:p>
    <w:p>
      <w:pPr>
        <w:pStyle w:val="MdSpace"/>
        <w:spacing w:before="0" w:after="60"/>
      </w:pPr>
    </w:p>
    <w:p>
      <w:pPr>
        <w:pStyle w:val="MdListItem"/>
        <w:numPr>
          <w:ilvl w:val="0"/>
          <w:numId w:val="2"/>
        </w:numPr>
      </w:pPr>
      <w:r>
        <w:t xml:space="preserve">“What should South Africans check before ordering peptides online?”</w:t>
      </w:r>
    </w:p>
    <w:p>
      <w:pPr>
        <w:pStyle w:val="MdListItem"/>
        <w:numPr>
          <w:ilvl w:val="0"/>
          <w:numId w:val="2"/>
        </w:numPr>
      </w:pPr>
      <w:r>
        <w:t xml:space="preserve">“How should temperature-sensitive products be delivered?”</w:t>
      </w:r>
    </w:p>
    <w:p>
      <w:pPr>
        <w:pStyle w:val="MdListItem"/>
        <w:numPr>
          <w:ilvl w:val="0"/>
          <w:numId w:val="2"/>
        </w:numPr>
      </w:pPr>
      <w:r>
        <w:t xml:space="preserve">“What is the difference between a local consultation and an anonymous online order?”</w:t>
      </w:r>
    </w:p>
    <w:p>
      <w:pPr>
        <w:pStyle w:val="MdListItem"/>
        <w:numPr>
          <w:ilvl w:val="0"/>
          <w:numId w:val="2"/>
        </w:numPr>
      </w:pPr>
      <w:r>
        <w:t xml:space="preserve">“Which questions should you ask a pharmacy or supplier?”</w:t>
      </w:r>
    </w:p>
    <w:p>
      <w:pPr>
        <w:pStyle w:val="MdListItem"/>
        <w:numPr>
          <w:ilvl w:val="0"/>
          <w:numId w:val="2"/>
        </w:numPr>
      </w:pPr>
      <w:r>
        <w:t xml:space="preserve">“Why product status matters more than a ‘99% purity’ headline.”</w:t>
      </w:r>
    </w:p>
    <w:p>
      <w:pPr>
        <w:pStyle w:val="MdSpace"/>
        <w:spacing w:before="0" w:after="60"/>
      </w:pPr>
    </w:p>
    <w:p>
      <w:pPr>
        <w:pStyle w:val="MdParagraph"/>
      </w:pPr>
      <w:r>
        <w:t xml:space="preserve">This captures local intent without making the account dependent on restricted product-name promotion.</w:t>
      </w:r>
    </w:p>
    <w:p>
      <w:pPr>
        <w:pStyle w:val="MdSpace"/>
        <w:spacing w:before="0" w:after="60"/>
      </w:pPr>
    </w:p>
    <w:p>
      <w:pPr>
        <w:pStyle w:val="Heading2"/>
        <w:pStyle w:val="MdHeading2"/>
      </w:pPr>
      <w:r>
        <w:t xml:space="preserve">6. Community questions and myth correction</w:t>
      </w:r>
    </w:p>
    <w:p>
      <w:pPr>
        <w:pStyle w:val="MdParagraph"/>
      </w:pPr>
      <w:r>
        <w:t xml:space="preserve">Use polls, question stickers, comment prompts, and live Q&amp;A sessions to discover demand. Ask low-risk questions such as “Which term should we explain next?” or “Would you like a guide to COAs or cold-chain delivery?” Do not ask viewers to describe medical conditions publicly.</w:t>
      </w:r>
    </w:p>
    <w:p>
      <w:pPr>
        <w:pStyle w:val="MdSpace"/>
        <w:spacing w:before="0" w:after="60"/>
      </w:pPr>
    </w:p>
    <w:p>
      <w:pPr>
        <w:pStyle w:val="MdParagraph"/>
      </w:pPr>
      <w:r>
        <w:t xml:space="preserve">For live sessions, use a qualified professional where medical questions are likely. Prepare a moderator, a written scope statement, a list of questions that will not be answered individually, and a process for removing unsafe or misleading comments.</w:t>
      </w:r>
    </w:p>
    <w:p>
      <w:pPr>
        <w:pStyle w:val="MdSpace"/>
        <w:spacing w:before="0" w:after="60"/>
      </w:pPr>
    </w:p>
    <w:p>
      <w:pPr>
        <w:pStyle w:val="Heading1"/>
        <w:pStyle w:val="MdHeading1"/>
      </w:pPr>
      <w:r>
        <w:t xml:space="preserve">Platform execution</w:t>
      </w:r>
    </w:p>
    <w:p>
      <w:pPr>
        <w:pStyle w:val="Heading2"/>
        <w:pStyle w:val="MdHeading2"/>
      </w:pPr>
      <w:r>
        <w:t xml:space="preserve">TikTok</w:t>
      </w:r>
    </w:p>
    <w:p>
      <w:pPr>
        <w:pStyle w:val="MdParagraph"/>
      </w:pPr>
      <w:r>
        <w:t xml:space="preserve">Use 20–45-second vertical explainers with the main search phrase spoken, displayed on screen, and repeated naturally in the caption. The first two seconds should state the question, not make a dramatic medical promise.</w:t>
      </w:r>
    </w:p>
    <w:p>
      <w:pPr>
        <w:pStyle w:val="MdSpace"/>
        <w:spacing w:before="0" w:after="60"/>
      </w:pPr>
    </w:p>
    <w:p>
      <w:pPr>
        <w:pStyle w:val="MdParagraph"/>
      </w:pPr>
      <w:r>
        <w:t xml:space="preserve">A reliable structure is:</w:t>
      </w:r>
    </w:p>
    <w:p>
      <w:pPr>
        <w:pStyle w:val="MdSpace"/>
        <w:spacing w:before="0" w:after="60"/>
      </w:pPr>
    </w:p>
    <w:p>
      <w:pPr>
        <w:pStyle w:val="MdListItem"/>
        <w:numPr>
          <w:ilvl w:val="0"/>
          <w:numId w:val="3"/>
        </w:numPr>
      </w:pPr>
      <w:r>
        <w:t xml:space="preserve">Question: “What does research use only mean?”</w:t>
      </w:r>
    </w:p>
    <w:p>
      <w:pPr>
        <w:pStyle w:val="MdListItem"/>
        <w:numPr>
          <w:ilvl w:val="0"/>
          <w:numId w:val="3"/>
        </w:numPr>
      </w:pPr>
      <w:r>
        <w:t xml:space="preserve">Answer: one plain-language definition.</w:t>
      </w:r>
    </w:p>
    <w:p>
      <w:pPr>
        <w:pStyle w:val="MdListItem"/>
        <w:numPr>
          <w:ilvl w:val="0"/>
          <w:numId w:val="3"/>
        </w:numPr>
      </w:pPr>
      <w:r>
        <w:t xml:space="preserve">Boundary: what the term does not permit or prove.</w:t>
      </w:r>
    </w:p>
    <w:p>
      <w:pPr>
        <w:pStyle w:val="MdListItem"/>
        <w:numPr>
          <w:ilvl w:val="0"/>
          <w:numId w:val="3"/>
        </w:numPr>
      </w:pPr>
      <w:r>
        <w:t xml:space="preserve">Action: “Use our provider-verification checklist; link in bio.”</w:t>
      </w:r>
    </w:p>
    <w:p>
      <w:pPr>
        <w:pStyle w:val="MdSpace"/>
        <w:spacing w:before="0" w:after="60"/>
      </w:pPr>
    </w:p>
    <w:p>
      <w:pPr>
        <w:pStyle w:val="MdParagraph"/>
      </w:pPr>
      <w:r>
        <w:t xml:space="preserve">Use playlists such as </w:t>
      </w:r>
      <w:r>
        <w:rPr>
          <w:rStyle w:val="MdStrong"/>
          <w:b/>
          <w:bCs/>
        </w:rPr>
        <w:t xml:space="preserve">Start Here</w:t>
      </w:r>
      <w:r>
        <w:t xml:space="preserve">, </w:t>
      </w:r>
      <w:r>
        <w:rPr>
          <w:rStyle w:val="MdStrong"/>
          <w:b/>
          <w:bCs/>
        </w:rPr>
        <w:t xml:space="preserve">Safety Questions</w:t>
      </w:r>
      <w:r>
        <w:t xml:space="preserve">, </w:t>
      </w:r>
      <w:r>
        <w:rPr>
          <w:rStyle w:val="MdStrong"/>
          <w:b/>
          <w:bCs/>
        </w:rPr>
        <w:t xml:space="preserve">Research Supply</w:t>
      </w:r>
      <w:r>
        <w:t xml:space="preserve">, and </w:t>
      </w:r>
      <w:r>
        <w:rPr>
          <w:rStyle w:val="MdStrong"/>
          <w:b/>
          <w:bCs/>
        </w:rPr>
        <w:t xml:space="preserve">Consultation Process</w:t>
      </w:r>
      <w:r>
        <w:t xml:space="preserve">. Pin three videos: who the account belongs to, what the account does not provide, and the best beginner guide.</w:t>
      </w:r>
    </w:p>
    <w:p>
      <w:pPr>
        <w:pStyle w:val="MdSpace"/>
        <w:spacing w:before="0" w:after="60"/>
      </w:pPr>
    </w:p>
    <w:p>
      <w:pPr>
        <w:pStyle w:val="MdParagraph"/>
      </w:pPr>
      <w:r>
        <w:t xml:space="preserve">Do not rely on coded language, misspellings, hidden product names, vials or injection imagery, “DM for dosage,” “comment the word STACK,” or a bio link that reveals an undisclosed purchase page. These practices undermine transparency and may create enforcement and trust risks.</w:t>
      </w:r>
    </w:p>
    <w:p>
      <w:pPr>
        <w:pStyle w:val="MdSpace"/>
        <w:spacing w:before="0" w:after="60"/>
      </w:pPr>
    </w:p>
    <w:p>
      <w:pPr>
        <w:pStyle w:val="Heading2"/>
        <w:pStyle w:val="MdHeading2"/>
      </w:pPr>
      <w:r>
        <w:t xml:space="preserve">Instagram</w:t>
      </w:r>
    </w:p>
    <w:p>
      <w:pPr>
        <w:pStyle w:val="MdParagraph"/>
      </w:pPr>
      <w:r>
        <w:t xml:space="preserve">Use Reels for discovery, carousels for saved reference material, Stories for questions and polls, Highlights for permanent trust information, and Lives for moderated long-form education.</w:t>
      </w:r>
    </w:p>
    <w:p>
      <w:pPr>
        <w:pStyle w:val="MdSpace"/>
        <w:spacing w:before="0" w:after="60"/>
      </w:pPr>
    </w:p>
    <w:p>
      <w:pPr>
        <w:pStyle w:val="MdParagraph"/>
      </w:pPr>
      <w:r>
        <w:t xml:space="preserve">Recommended Highlights: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Highlight</w:t>
            </w:r>
          </w:p>
        </w:tc>
        <w:tc>
          <w:tcPr>
            <w:tcBorders>
              <w:right w:val="none"/>
            </w:tcBorders>
            <w:tcMar>
              <w:top w:type="dxa" w:w="100"/>
              <w:left w:type="dxa" w:w="120"/>
              <w:bottom w:type="dxa" w:w="100"/>
              <w:right w:type="dxa" w:w="120"/>
            </w:tcMar>
            <w:vAlign w:val="center"/>
          </w:tcPr>
          <w:p>
            <w:pPr>
              <w:pStyle w:val="MdTableHeader"/>
            </w:pPr>
            <w:r>
              <w:t xml:space="preserve">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Start Here</w:t>
            </w:r>
          </w:p>
        </w:tc>
        <w:tc>
          <w:tcPr>
            <w:tcBorders>
              <w:right w:val="none"/>
            </w:tcBorders>
            <w:tcMar>
              <w:top w:type="dxa" w:w="80"/>
              <w:left w:type="dxa" w:w="120"/>
              <w:bottom w:type="dxa" w:w="80"/>
              <w:right w:type="dxa" w:w="120"/>
            </w:tcMar>
            <w:vAlign w:val="center"/>
          </w:tcPr>
          <w:p>
            <w:pPr>
              <w:pStyle w:val="MdTableCell"/>
            </w:pPr>
            <w:r>
              <w:t xml:space="preserve">Business identity, scope, educational disclaimer, and main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Evidence</w:t>
            </w:r>
          </w:p>
        </w:tc>
        <w:tc>
          <w:tcPr>
            <w:tcBorders>
              <w:right w:val="none"/>
            </w:tcBorders>
            <w:tcMar>
              <w:top w:type="dxa" w:w="80"/>
              <w:left w:type="dxa" w:w="120"/>
              <w:bottom w:type="dxa" w:w="80"/>
              <w:right w:type="dxa" w:w="120"/>
            </w:tcMar>
            <w:vAlign w:val="center"/>
          </w:tcPr>
          <w:p>
            <w:pPr>
              <w:pStyle w:val="MdTableCell"/>
            </w:pPr>
            <w:r>
              <w:t xml:space="preserve">Source policy, review dates, uncertainty labels, and citations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w:t>
            </w:r>
          </w:p>
        </w:tc>
        <w:tc>
          <w:tcPr>
            <w:tcBorders>
              <w:right w:val="none"/>
            </w:tcBorders>
            <w:tcMar>
              <w:top w:type="dxa" w:w="80"/>
              <w:left w:type="dxa" w:w="120"/>
              <w:bottom w:type="dxa" w:w="80"/>
              <w:right w:type="dxa" w:w="120"/>
            </w:tcMar>
            <w:vAlign w:val="center"/>
          </w:tcPr>
          <w:p>
            <w:pPr>
              <w:pStyle w:val="MdTableCell"/>
            </w:pPr>
            <w:r>
              <w:t xml:space="preserve">General risks, eligibility boundaries, and professional signposting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w:t>
            </w:r>
          </w:p>
        </w:tc>
        <w:tc>
          <w:tcPr>
            <w:tcBorders>
              <w:right w:val="none"/>
            </w:tcBorders>
            <w:tcMar>
              <w:top w:type="dxa" w:w="80"/>
              <w:left w:type="dxa" w:w="120"/>
              <w:bottom w:type="dxa" w:w="80"/>
              <w:right w:type="dxa" w:w="120"/>
            </w:tcMar>
            <w:vAlign w:val="center"/>
          </w:tcPr>
          <w:p>
            <w:pPr>
              <w:pStyle w:val="MdTableCell"/>
            </w:pPr>
            <w:r>
              <w:t xml:space="preserve">COA explanation, batch information, storage and delivery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w:t>
            </w:r>
          </w:p>
        </w:tc>
        <w:tc>
          <w:tcPr>
            <w:tcBorders>
              <w:right w:val="none"/>
            </w:tcBorders>
            <w:tcMar>
              <w:top w:type="dxa" w:w="80"/>
              <w:left w:type="dxa" w:w="120"/>
              <w:bottom w:type="dxa" w:w="80"/>
              <w:right w:type="dxa" w:w="120"/>
            </w:tcMar>
            <w:vAlign w:val="center"/>
          </w:tcPr>
          <w:p>
            <w:pPr>
              <w:pStyle w:val="MdTableCell"/>
            </w:pPr>
            <w:r>
              <w:t xml:space="preserve">Consultation or research enquiry steps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FAQ</w:t>
            </w:r>
          </w:p>
        </w:tc>
        <w:tc>
          <w:tcPr>
            <w:tcBorders>
              <w:right w:val="none"/>
            </w:tcBorders>
            <w:tcMar>
              <w:top w:type="dxa" w:w="80"/>
              <w:left w:type="dxa" w:w="120"/>
              <w:bottom w:type="dxa" w:w="80"/>
              <w:right w:type="dxa" w:w="120"/>
            </w:tcMar>
            <w:vAlign w:val="center"/>
          </w:tcPr>
          <w:p>
            <w:pPr>
              <w:pStyle w:val="MdTableCell"/>
            </w:pPr>
            <w:r>
              <w:t xml:space="preserve">Answers to recurring non-sensitive questions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Contact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Proper business contact and secure enquiry route</w:t>
            </w:r>
          </w:p>
        </w:tc>
      </w:tr>
    </w:tbl>
    <w:p>
      <w:pPr>
        <w:pStyle w:val="MdParagraph"/>
      </w:pPr>
      <w:r>
        <w:t xml:space="preserve">Use carousel posts as “reference cards,” not sensational before-and-after material. Every carousel should have a final slide that identifies whether it is education, a product explanation, a consultation offer, or research-supply information.</w:t>
      </w:r>
    </w:p>
    <w:p>
      <w:pPr>
        <w:pStyle w:val="MdSpace"/>
        <w:spacing w:before="0" w:after="60"/>
      </w:pPr>
    </w:p>
    <w:p>
      <w:pPr>
        <w:pStyle w:val="Heading1"/>
        <w:pStyle w:val="MdHeading1"/>
      </w:pPr>
      <w:r>
        <w:t xml:space="preserve">Search capture without concealment</w:t>
      </w:r>
    </w:p>
    <w:p>
      <w:pPr>
        <w:pStyle w:val="MdParagraph"/>
      </w:pPr>
      <w:r>
        <w:t xml:space="preserve">Social search works best when the topic is clear and consistent across the video, caption, profile, and destination. Use one primary query per asset and a small number of natural variants.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Target intent</w:t>
            </w:r>
          </w:p>
        </w:tc>
        <w:tc>
          <w:tcPr>
            <w:tcMar>
              <w:top w:type="dxa" w:w="100"/>
              <w:left w:type="dxa" w:w="120"/>
              <w:bottom w:type="dxa" w:w="100"/>
              <w:right w:type="dxa" w:w="120"/>
            </w:tcMar>
            <w:vAlign w:val="center"/>
          </w:tcPr>
          <w:p>
            <w:pPr>
              <w:pStyle w:val="MdTableHeader"/>
            </w:pPr>
            <w:r>
              <w:t xml:space="preserve">Spoken/on-screen phrase</w:t>
            </w:r>
          </w:p>
        </w:tc>
        <w:tc>
          <w:tcPr>
            <w:tcMar>
              <w:top w:type="dxa" w:w="100"/>
              <w:left w:type="dxa" w:w="120"/>
              <w:bottom w:type="dxa" w:w="100"/>
              <w:right w:type="dxa" w:w="120"/>
            </w:tcMar>
            <w:vAlign w:val="center"/>
          </w:tcPr>
          <w:p>
            <w:pPr>
              <w:pStyle w:val="MdTableHeader"/>
            </w:pPr>
            <w:r>
              <w:t xml:space="preserve">Caption structure</w:t>
            </w:r>
          </w:p>
        </w:tc>
        <w:tc>
          <w:tcPr>
            <w:tcBorders>
              <w:right w:val="none"/>
            </w:tcBorders>
            <w:tcMar>
              <w:top w:type="dxa" w:w="100"/>
              <w:left w:type="dxa" w:w="120"/>
              <w:bottom w:type="dxa" w:w="100"/>
              <w:right w:type="dxa" w:w="120"/>
            </w:tcMar>
            <w:vAlign w:val="center"/>
          </w:tcPr>
          <w:p>
            <w:pPr>
              <w:pStyle w:val="MdTableHeader"/>
            </w:pPr>
            <w:r>
              <w:t xml:space="preserve">Destination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Broad education</w:t>
            </w:r>
          </w:p>
        </w:tc>
        <w:tc>
          <w:tcPr>
            <w:tcMar>
              <w:top w:type="dxa" w:w="80"/>
              <w:left w:type="dxa" w:w="120"/>
              <w:bottom w:type="dxa" w:w="80"/>
              <w:right w:type="dxa" w:w="120"/>
            </w:tcMar>
            <w:vAlign w:val="center"/>
          </w:tcPr>
          <w:p>
            <w:pPr>
              <w:pStyle w:val="MdTableCell"/>
            </w:pPr>
            <w:r>
              <w:t xml:space="preserve">“Peptides in South Africa”</w:t>
            </w:r>
          </w:p>
        </w:tc>
        <w:tc>
          <w:tcPr>
            <w:tcMar>
              <w:top w:type="dxa" w:w="80"/>
              <w:left w:type="dxa" w:w="120"/>
              <w:bottom w:type="dxa" w:w="80"/>
              <w:right w:type="dxa" w:w="120"/>
            </w:tcMar>
            <w:vAlign w:val="center"/>
          </w:tcPr>
          <w:p>
            <w:pPr>
              <w:pStyle w:val="MdTableCell"/>
            </w:pPr>
            <w:r>
              <w:t xml:space="preserve">Define peptides and explain the key safety questions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/peptides-south-africa/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w:t>
            </w:r>
          </w:p>
        </w:tc>
        <w:tc>
          <w:tcPr>
            <w:tcMar>
              <w:top w:type="dxa" w:w="80"/>
              <w:left w:type="dxa" w:w="120"/>
              <w:bottom w:type="dxa" w:w="80"/>
              <w:right w:type="dxa" w:w="120"/>
            </w:tcMar>
            <w:vAlign w:val="center"/>
          </w:tcPr>
          <w:p>
            <w:pPr>
              <w:pStyle w:val="MdTableCell"/>
            </w:pPr>
            <w:r>
              <w:t xml:space="preserve">“How to choose a peptide provider”</w:t>
            </w:r>
          </w:p>
        </w:tc>
        <w:tc>
          <w:tcPr>
            <w:tcMar>
              <w:top w:type="dxa" w:w="80"/>
              <w:left w:type="dxa" w:w="120"/>
              <w:bottom w:type="dxa" w:w="80"/>
              <w:right w:type="dxa" w:w="120"/>
            </w:tcMar>
            <w:vAlign w:val="center"/>
          </w:tcPr>
          <w:p>
            <w:pPr>
              <w:pStyle w:val="MdTableCell"/>
            </w:pPr>
            <w:r>
              <w:t xml:space="preserve">Five verification checks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/provider-verification-checklist/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w:t>
            </w:r>
          </w:p>
        </w:tc>
        <w:tc>
          <w:tcPr>
            <w:tcMar>
              <w:top w:type="dxa" w:w="80"/>
              <w:left w:type="dxa" w:w="120"/>
              <w:bottom w:type="dxa" w:w="80"/>
              <w:right w:type="dxa" w:w="120"/>
            </w:tcMar>
            <w:vAlign w:val="center"/>
          </w:tcPr>
          <w:p>
            <w:pPr>
              <w:pStyle w:val="MdTableCell"/>
            </w:pPr>
            <w:r>
              <w:t xml:space="preserve">“Research peptides versus medicines”</w:t>
            </w:r>
          </w:p>
        </w:tc>
        <w:tc>
          <w:tcPr>
            <w:tcMar>
              <w:top w:type="dxa" w:w="80"/>
              <w:left w:type="dxa" w:w="120"/>
              <w:bottom w:type="dxa" w:w="80"/>
              <w:right w:type="dxa" w:w="120"/>
            </w:tcMar>
            <w:vAlign w:val="center"/>
          </w:tcPr>
          <w:p>
            <w:pPr>
              <w:pStyle w:val="MdTableCell"/>
            </w:pPr>
            <w:r>
              <w:t xml:space="preserve">Explain the distinction and restrictions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/regulated-vs-research-peptides/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w:t>
            </w:r>
          </w:p>
        </w:tc>
        <w:tc>
          <w:tcPr>
            <w:tcMar>
              <w:top w:type="dxa" w:w="80"/>
              <w:left w:type="dxa" w:w="120"/>
              <w:bottom w:type="dxa" w:w="80"/>
              <w:right w:type="dxa" w:w="120"/>
            </w:tcMar>
            <w:vAlign w:val="center"/>
          </w:tcPr>
          <w:p>
            <w:pPr>
              <w:pStyle w:val="MdTableCell"/>
            </w:pPr>
            <w:r>
              <w:t xml:space="preserve">“How to read a peptide COA”</w:t>
            </w:r>
          </w:p>
        </w:tc>
        <w:tc>
          <w:tcPr>
            <w:tcMar>
              <w:top w:type="dxa" w:w="80"/>
              <w:left w:type="dxa" w:w="120"/>
              <w:bottom w:type="dxa" w:w="80"/>
              <w:right w:type="dxa" w:w="120"/>
            </w:tcMar>
            <w:vAlign w:val="center"/>
          </w:tcPr>
          <w:p>
            <w:pPr>
              <w:pStyle w:val="MdTableCell"/>
            </w:pPr>
            <w:r>
              <w:t xml:space="preserve">Show a generic annotated example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/how-to-read-a-coa/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Semaglutide information</w:t>
            </w:r>
          </w:p>
        </w:tc>
        <w:tc>
          <w:tcPr>
            <w:tcMar>
              <w:top w:type="dxa" w:w="80"/>
              <w:left w:type="dxa" w:w="120"/>
              <w:bottom w:type="dxa" w:w="80"/>
              <w:right w:type="dxa" w:w="120"/>
            </w:tcMar>
            <w:vAlign w:val="center"/>
          </w:tcPr>
          <w:p>
            <w:pPr>
              <w:pStyle w:val="MdTableCell"/>
            </w:pPr>
            <w:r>
              <w:t xml:space="preserve">“Semaglutide consultation questions”</w:t>
            </w:r>
          </w:p>
        </w:tc>
        <w:tc>
          <w:tcPr>
            <w:tcMar>
              <w:top w:type="dxa" w:w="80"/>
              <w:left w:type="dxa" w:w="120"/>
              <w:bottom w:type="dxa" w:w="80"/>
              <w:right w:type="dxa" w:w="120"/>
            </w:tcMar>
            <w:vAlign w:val="center"/>
          </w:tcPr>
          <w:p>
            <w:pPr>
              <w:pStyle w:val="MdTableCell"/>
            </w:pPr>
            <w:r>
              <w:t xml:space="preserve">General educational explanation; no direct unapproved sale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/evidence-library/semaglutide/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Process</w:t>
            </w:r>
          </w:p>
        </w:tc>
        <w:tc>
          <w:tcPr>
            <w:tcBorders>
              <w:bottom w:val="single" w:color="E1E4E8" w:sz="4"/>
            </w:tcBorders>
            <w:tcMar>
              <w:top w:type="dxa" w:w="80"/>
              <w:left w:type="dxa" w:w="120"/>
              <w:bottom w:type="dxa" w:w="80"/>
              <w:right w:type="dxa" w:w="120"/>
            </w:tcMar>
            <w:vAlign w:val="center"/>
          </w:tcPr>
          <w:p>
            <w:pPr>
              <w:pStyle w:val="MdTableCell"/>
            </w:pPr>
            <w:r>
              <w:t xml:space="preserve">“How a peptide consultation works”</w:t>
            </w:r>
          </w:p>
        </w:tc>
        <w:tc>
          <w:tcPr>
            <w:tcBorders>
              <w:bottom w:val="single" w:color="E1E4E8" w:sz="4"/>
            </w:tcBorders>
            <w:tcMar>
              <w:top w:type="dxa" w:w="80"/>
              <w:left w:type="dxa" w:w="120"/>
              <w:bottom w:type="dxa" w:w="80"/>
              <w:right w:type="dxa" w:w="120"/>
            </w:tcMar>
            <w:vAlign w:val="center"/>
          </w:tcPr>
          <w:p>
            <w:pPr>
              <w:pStyle w:val="MdTableCell"/>
            </w:pPr>
            <w:r>
              <w:t xml:space="preserve">Explain assessment, monitoring and follow-up</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/how-it-works/</w:t>
            </w:r>
          </w:p>
        </w:tc>
      </w:tr>
    </w:tbl>
    <w:p>
      <w:pPr>
        <w:pStyle w:val="MdParagraph"/>
      </w:pPr>
      <w:r>
        <w:t xml:space="preserve">Use UTM links by platform and content pillar. Maintain a searchable content log containing the hook, query, claim, evidence source, reviewer, publication date, destination, and outcome. This creates first-party insight into what people are asking without pretending social interest equals verified search volume.</w:t>
      </w:r>
    </w:p>
    <w:p>
      <w:pPr>
        <w:pStyle w:val="MdSpace"/>
        <w:spacing w:before="0" w:after="60"/>
      </w:pPr>
    </w:p>
    <w:p>
      <w:pPr>
        <w:pStyle w:val="Heading1"/>
        <w:pStyle w:val="MdHeading1"/>
      </w:pPr>
      <w:r>
        <w:t xml:space="preserve">Community-building system</w:t>
      </w:r>
    </w:p>
    <w:p>
      <w:pPr>
        <w:pStyle w:val="Heading2"/>
        <w:pStyle w:val="MdHeading2"/>
      </w:pPr>
      <w:r>
        <w:t xml:space="preserve">Weekly question loop</w:t>
      </w:r>
    </w:p>
    <w:p>
      <w:pPr>
        <w:pStyle w:val="MdParagraph"/>
      </w:pPr>
      <w:r>
        <w:t xml:space="preserve">On Monday, publish a question-led Reel or TikTok. On Tuesday, collect questions through Stories. On Wednesday, answer the three safest recurring questions in a carousel or short video. On Thursday, publish a source or verification tutorial. On Friday, host a moderated Q&amp;A or publish a weekly recap.</w:t>
      </w:r>
    </w:p>
    <w:p>
      <w:pPr>
        <w:pStyle w:val="MdSpace"/>
        <w:spacing w:before="0" w:after="60"/>
      </w:pPr>
    </w:p>
    <w:p>
      <w:pPr>
        <w:pStyle w:val="MdParagraph"/>
      </w:pPr>
      <w:r>
        <w:t xml:space="preserve">The community manager should classify comments as educational, commercial, medical-sensitive, unsafe, misinformation, complaint, or spam. Medical-sensitive comments should receive a short response such as:</w:t>
      </w:r>
    </w:p>
    <w:p>
      <w:pPr>
        <w:pStyle w:val="MdSpace"/>
        <w:spacing w:before="0" w:after="60"/>
      </w:pPr>
    </w:p>
    <w:p>
      <w:pPr>
        <w:pStyle w:val="MdBlockquote"/>
      </w:pPr>
      <w:r>
        <w:t xml:space="preserve">We cannot assess individual symptoms, medicines or suitability in comments. Please speak with a qualified healthcare professional through a secure consultation route.</w:t>
      </w:r>
    </w:p>
    <w:p>
      <w:pPr>
        <w:pStyle w:val="MdSpace"/>
        <w:spacing w:before="0" w:after="60"/>
      </w:pPr>
    </w:p>
    <w:p>
      <w:pPr>
        <w:pStyle w:val="MdParagraph"/>
      </w:pPr>
      <w:r>
        <w:t xml:space="preserve">Complaints should never be deleted merely because they are negative. Record them, respond professionally, escalate product or safety issues, and follow the business complaints and adverse-event process.</w:t>
      </w:r>
    </w:p>
    <w:p>
      <w:pPr>
        <w:pStyle w:val="MdSpace"/>
        <w:spacing w:before="0" w:after="60"/>
      </w:pPr>
    </w:p>
    <w:p>
      <w:pPr>
        <w:pStyle w:val="Heading2"/>
        <w:pStyle w:val="MdHeading2"/>
      </w:pPr>
      <w:r>
        <w:t xml:space="preserve">Creator and expert collaboration</w:t>
      </w:r>
    </w:p>
    <w:p>
      <w:pPr>
        <w:pStyle w:val="MdParagraph"/>
      </w:pPr>
      <w:r>
        <w:t xml:space="preserve">Work only with creators who disclose commercial relationships and are willing to use approved scripts. Prefer qualified professionals, research communicators, pharmacists, nutrition professionals, and consumer-safety creators over transformation influencers. Do not pay creators to imply personal medical outcomes or use a product they have not actually used.</w:t>
      </w:r>
    </w:p>
    <w:p>
      <w:pPr>
        <w:pStyle w:val="MdSpace"/>
        <w:spacing w:before="0" w:after="60"/>
      </w:pPr>
    </w:p>
    <w:p>
      <w:pPr>
        <w:pStyle w:val="MdParagraph"/>
      </w:pPr>
      <w:r>
        <w:t xml:space="preserve">A safe collaboration brief should specify the approved facts, prohibited claims, disclosure wording, comment-moderation process, landing page, and escalation contact. The creator should not improvise dosing, suitability, diagnosis, or product-status statements.</w:t>
      </w:r>
    </w:p>
    <w:p>
      <w:pPr>
        <w:pStyle w:val="MdSpace"/>
        <w:spacing w:before="0" w:after="60"/>
      </w:pPr>
    </w:p>
    <w:p>
      <w:pPr>
        <w:pStyle w:val="Heading1"/>
        <w:pStyle w:val="MdHeading1"/>
      </w:pPr>
      <w:r>
        <w:t xml:space="preserve">Six-week publishing plan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Week</w:t>
            </w:r>
          </w:p>
        </w:tc>
        <w:tc>
          <w:tcPr>
            <w:tcMar>
              <w:top w:type="dxa" w:w="100"/>
              <w:left w:type="dxa" w:w="120"/>
              <w:bottom w:type="dxa" w:w="100"/>
              <w:right w:type="dxa" w:w="120"/>
            </w:tcMar>
            <w:vAlign w:val="center"/>
          </w:tcPr>
          <w:p>
            <w:pPr>
              <w:pStyle w:val="MdTableHeader"/>
            </w:pPr>
            <w:r>
              <w:t xml:space="preserve">TikTok/Reels focus</w:t>
            </w:r>
          </w:p>
        </w:tc>
        <w:tc>
          <w:tcPr>
            <w:tcMar>
              <w:top w:type="dxa" w:w="100"/>
              <w:left w:type="dxa" w:w="120"/>
              <w:bottom w:type="dxa" w:w="100"/>
              <w:right w:type="dxa" w:w="120"/>
            </w:tcMar>
            <w:vAlign w:val="center"/>
          </w:tcPr>
          <w:p>
            <w:pPr>
              <w:pStyle w:val="MdTableHeader"/>
            </w:pPr>
            <w:r>
              <w:t xml:space="preserve">Instagram support</w:t>
            </w:r>
          </w:p>
        </w:tc>
        <w:tc>
          <w:tcPr>
            <w:tcMar>
              <w:top w:type="dxa" w:w="100"/>
              <w:left w:type="dxa" w:w="120"/>
              <w:bottom w:type="dxa" w:w="100"/>
              <w:right w:type="dxa" w:w="120"/>
            </w:tcMar>
            <w:vAlign w:val="center"/>
          </w:tcPr>
          <w:p>
            <w:pPr>
              <w:pStyle w:val="MdTableHeader"/>
            </w:pPr>
            <w:r>
              <w:t xml:space="preserve">Community action</w:t>
            </w:r>
          </w:p>
        </w:tc>
        <w:tc>
          <w:tcPr>
            <w:tcBorders>
              <w:right w:val="none"/>
            </w:tcBorders>
            <w:tcMar>
              <w:top w:type="dxa" w:w="100"/>
              <w:left w:type="dxa" w:w="120"/>
              <w:bottom w:type="dxa" w:w="100"/>
              <w:right w:type="dxa" w:w="120"/>
            </w:tcMar>
            <w:vAlign w:val="center"/>
          </w:tcPr>
          <w:p>
            <w:pPr>
              <w:pStyle w:val="MdTableHeader"/>
            </w:pPr>
            <w:r>
              <w:t xml:space="preserve">Conversion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What peptides are; what “peptide” does not mean</w:t>
            </w:r>
          </w:p>
        </w:tc>
        <w:tc>
          <w:tcPr>
            <w:tcMar>
              <w:top w:type="dxa" w:w="80"/>
              <w:left w:type="dxa" w:w="120"/>
              <w:bottom w:type="dxa" w:w="80"/>
              <w:right w:type="dxa" w:w="120"/>
            </w:tcMar>
            <w:vAlign w:val="center"/>
          </w:tcPr>
          <w:p>
            <w:pPr>
              <w:pStyle w:val="MdTableCell"/>
            </w:pPr>
            <w:r>
              <w:t xml:space="preserve">Start Here carousel and identity post</w:t>
            </w:r>
          </w:p>
        </w:tc>
        <w:tc>
          <w:tcPr>
            <w:tcMar>
              <w:top w:type="dxa" w:w="80"/>
              <w:left w:type="dxa" w:w="120"/>
              <w:bottom w:type="dxa" w:w="80"/>
              <w:right w:type="dxa" w:w="120"/>
            </w:tcMar>
            <w:vAlign w:val="center"/>
          </w:tcPr>
          <w:p>
            <w:pPr>
              <w:pStyle w:val="MdTableCell"/>
            </w:pPr>
            <w:r>
              <w:t xml:space="preserve">Ask followers which term confuses them</w:t>
            </w:r>
          </w:p>
        </w:tc>
        <w:tc>
          <w:tcPr>
            <w:tcBorders>
              <w:right w:val="none"/>
            </w:tcBorders>
            <w:tcMar>
              <w:top w:type="dxa" w:w="80"/>
              <w:left w:type="dxa" w:w="120"/>
              <w:bottom w:type="dxa" w:w="80"/>
              <w:right w:type="dxa" w:w="120"/>
            </w:tcMar>
            <w:vAlign w:val="center"/>
          </w:tcPr>
          <w:p>
            <w:pPr>
              <w:pStyle w:val="MdTableCell"/>
            </w:pPr>
            <w:r>
              <w:t xml:space="preserve">Beginner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Research-use-only versus clinician-supervised care</w:t>
            </w:r>
          </w:p>
        </w:tc>
        <w:tc>
          <w:tcPr>
            <w:tcMar>
              <w:top w:type="dxa" w:w="80"/>
              <w:left w:type="dxa" w:w="120"/>
              <w:bottom w:type="dxa" w:w="80"/>
              <w:right w:type="dxa" w:w="120"/>
            </w:tcMar>
            <w:vAlign w:val="center"/>
          </w:tcPr>
          <w:p>
            <w:pPr>
              <w:pStyle w:val="MdTableCell"/>
            </w:pPr>
            <w:r>
              <w:t xml:space="preserve">Comparison carousel</w:t>
            </w:r>
          </w:p>
        </w:tc>
        <w:tc>
          <w:tcPr>
            <w:tcMar>
              <w:top w:type="dxa" w:w="80"/>
              <w:left w:type="dxa" w:w="120"/>
              <w:bottom w:type="dxa" w:w="80"/>
              <w:right w:type="dxa" w:w="120"/>
            </w:tcMar>
            <w:vAlign w:val="center"/>
          </w:tcPr>
          <w:p>
            <w:pPr>
              <w:pStyle w:val="MdTableCell"/>
            </w:pPr>
            <w:r>
              <w:t xml:space="preserve">Poll: evidence, sourcing, or storage</w:t>
            </w:r>
          </w:p>
        </w:tc>
        <w:tc>
          <w:tcPr>
            <w:tcBorders>
              <w:right w:val="none"/>
            </w:tcBorders>
            <w:tcMar>
              <w:top w:type="dxa" w:w="80"/>
              <w:left w:type="dxa" w:w="120"/>
              <w:bottom w:type="dxa" w:w="80"/>
              <w:right w:type="dxa" w:w="120"/>
            </w:tcMar>
            <w:vAlign w:val="center"/>
          </w:tcPr>
          <w:p>
            <w:pPr>
              <w:pStyle w:val="MdTableCell"/>
            </w:pPr>
            <w:r>
              <w:t xml:space="preserve">Comparison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How to verify a provider and business</w:t>
            </w:r>
          </w:p>
        </w:tc>
        <w:tc>
          <w:tcPr>
            <w:tcMar>
              <w:top w:type="dxa" w:w="80"/>
              <w:left w:type="dxa" w:w="120"/>
              <w:bottom w:type="dxa" w:w="80"/>
              <w:right w:type="dxa" w:w="120"/>
            </w:tcMar>
            <w:vAlign w:val="center"/>
          </w:tcPr>
          <w:p>
            <w:pPr>
              <w:pStyle w:val="MdTableCell"/>
            </w:pPr>
            <w:r>
              <w:t xml:space="preserve">Provider checklist carousel</w:t>
            </w:r>
          </w:p>
        </w:tc>
        <w:tc>
          <w:tcPr>
            <w:tcMar>
              <w:top w:type="dxa" w:w="80"/>
              <w:left w:type="dxa" w:w="120"/>
              <w:bottom w:type="dxa" w:w="80"/>
              <w:right w:type="dxa" w:w="120"/>
            </w:tcMar>
            <w:vAlign w:val="center"/>
          </w:tcPr>
          <w:p>
            <w:pPr>
              <w:pStyle w:val="MdTableCell"/>
            </w:pPr>
            <w:r>
              <w:t xml:space="preserve">Q&amp;A sticker</w:t>
            </w:r>
          </w:p>
        </w:tc>
        <w:tc>
          <w:tcPr>
            <w:tcBorders>
              <w:right w:val="none"/>
            </w:tcBorders>
            <w:tcMar>
              <w:top w:type="dxa" w:w="80"/>
              <w:left w:type="dxa" w:w="120"/>
              <w:bottom w:type="dxa" w:w="80"/>
              <w:right w:type="dxa" w:w="120"/>
            </w:tcMar>
            <w:vAlign w:val="center"/>
          </w:tcPr>
          <w:p>
            <w:pPr>
              <w:pStyle w:val="MdTableCell"/>
            </w:pPr>
            <w:r>
              <w:t xml:space="preserve">Verification checklist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How to read a generic COA and batch record</w:t>
            </w:r>
          </w:p>
        </w:tc>
        <w:tc>
          <w:tcPr>
            <w:tcMar>
              <w:top w:type="dxa" w:w="80"/>
              <w:left w:type="dxa" w:w="120"/>
              <w:bottom w:type="dxa" w:w="80"/>
              <w:right w:type="dxa" w:w="120"/>
            </w:tcMar>
            <w:vAlign w:val="center"/>
          </w:tcPr>
          <w:p>
            <w:pPr>
              <w:pStyle w:val="MdTableCell"/>
            </w:pPr>
            <w:r>
              <w:t xml:space="preserve">Annotated document carousel</w:t>
            </w:r>
          </w:p>
        </w:tc>
        <w:tc>
          <w:tcPr>
            <w:tcMar>
              <w:top w:type="dxa" w:w="80"/>
              <w:left w:type="dxa" w:w="120"/>
              <w:bottom w:type="dxa" w:w="80"/>
              <w:right w:type="dxa" w:w="120"/>
            </w:tcMar>
            <w:vAlign w:val="center"/>
          </w:tcPr>
          <w:p>
            <w:pPr>
              <w:pStyle w:val="MdTableCell"/>
            </w:pPr>
            <w:r>
              <w:t xml:space="preserve">Invite questions about documentation</w:t>
            </w:r>
          </w:p>
        </w:tc>
        <w:tc>
          <w:tcPr>
            <w:tcBorders>
              <w:right w:val="none"/>
            </w:tcBorders>
            <w:tcMar>
              <w:top w:type="dxa" w:w="80"/>
              <w:left w:type="dxa" w:w="120"/>
              <w:bottom w:type="dxa" w:w="80"/>
              <w:right w:type="dxa" w:w="120"/>
            </w:tcMar>
            <w:vAlign w:val="center"/>
          </w:tcPr>
          <w:p>
            <w:pPr>
              <w:pStyle w:val="MdTableCell"/>
            </w:pPr>
            <w:r>
              <w:t xml:space="preserve">COA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How a consultation or research enquiry works</w:t>
            </w:r>
          </w:p>
        </w:tc>
        <w:tc>
          <w:tcPr>
            <w:tcMar>
              <w:top w:type="dxa" w:w="80"/>
              <w:left w:type="dxa" w:w="120"/>
              <w:bottom w:type="dxa" w:w="80"/>
              <w:right w:type="dxa" w:w="120"/>
            </w:tcMar>
            <w:vAlign w:val="center"/>
          </w:tcPr>
          <w:p>
            <w:pPr>
              <w:pStyle w:val="MdTableCell"/>
            </w:pPr>
            <w:r>
              <w:t xml:space="preserve">Process timeline carousel</w:t>
            </w:r>
          </w:p>
        </w:tc>
        <w:tc>
          <w:tcPr>
            <w:tcMar>
              <w:top w:type="dxa" w:w="80"/>
              <w:left w:type="dxa" w:w="120"/>
              <w:bottom w:type="dxa" w:w="80"/>
              <w:right w:type="dxa" w:w="120"/>
            </w:tcMar>
            <w:vAlign w:val="center"/>
          </w:tcPr>
          <w:p>
            <w:pPr>
              <w:pStyle w:val="MdTableCell"/>
            </w:pPr>
            <w:r>
              <w:t xml:space="preserve">Moderated live with pre-submitted questions</w:t>
            </w:r>
          </w:p>
        </w:tc>
        <w:tc>
          <w:tcPr>
            <w:tcBorders>
              <w:right w:val="none"/>
            </w:tcBorders>
            <w:tcMar>
              <w:top w:type="dxa" w:w="80"/>
              <w:left w:type="dxa" w:w="120"/>
              <w:bottom w:type="dxa" w:w="80"/>
              <w:right w:type="dxa" w:w="120"/>
            </w:tcMar>
            <w:vAlign w:val="center"/>
          </w:tcPr>
          <w:p>
            <w:pPr>
              <w:pStyle w:val="MdTableCell"/>
            </w:pPr>
            <w:r>
              <w:t xml:space="preserve">Process 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6</w:t>
            </w:r>
          </w:p>
        </w:tc>
        <w:tc>
          <w:tcPr>
            <w:tcBorders>
              <w:bottom w:val="single" w:color="E1E4E8" w:sz="4"/>
            </w:tcBorders>
            <w:tcMar>
              <w:top w:type="dxa" w:w="80"/>
              <w:left w:type="dxa" w:w="120"/>
              <w:bottom w:type="dxa" w:w="80"/>
              <w:right w:type="dxa" w:w="120"/>
            </w:tcMar>
            <w:vAlign w:val="center"/>
          </w:tcPr>
          <w:p>
            <w:pPr>
              <w:pStyle w:val="MdTableCell"/>
            </w:pPr>
            <w:r>
              <w:t xml:space="preserve">Semaglutide/GLP-1 terminology and safety questions, subject to review</w:t>
            </w:r>
          </w:p>
        </w:tc>
        <w:tc>
          <w:tcPr>
            <w:tcBorders>
              <w:bottom w:val="single" w:color="E1E4E8" w:sz="4"/>
            </w:tcBorders>
            <w:tcMar>
              <w:top w:type="dxa" w:w="80"/>
              <w:left w:type="dxa" w:w="120"/>
              <w:bottom w:type="dxa" w:w="80"/>
              <w:right w:type="dxa" w:w="120"/>
            </w:tcMar>
            <w:vAlign w:val="center"/>
          </w:tcPr>
          <w:p>
            <w:pPr>
              <w:pStyle w:val="MdTableCell"/>
            </w:pPr>
            <w:r>
              <w:t xml:space="preserve">Evidence-level carousel</w:t>
            </w:r>
          </w:p>
        </w:tc>
        <w:tc>
          <w:tcPr>
            <w:tcBorders>
              <w:bottom w:val="single" w:color="E1E4E8" w:sz="4"/>
            </w:tcBorders>
            <w:tcMar>
              <w:top w:type="dxa" w:w="80"/>
              <w:left w:type="dxa" w:w="120"/>
              <w:bottom w:type="dxa" w:w="80"/>
              <w:right w:type="dxa" w:w="120"/>
            </w:tcMar>
            <w:vAlign w:val="center"/>
          </w:tcPr>
          <w:p>
            <w:pPr>
              <w:pStyle w:val="MdTableCell"/>
            </w:pPr>
            <w:r>
              <w:t xml:space="preserve">Myth-correction Q&amp;A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Approved evidence page</w:t>
            </w:r>
          </w:p>
        </w:tc>
      </w:tr>
    </w:tbl>
    <w:p>
      <w:pPr>
        <w:pStyle w:val="MdParagraph"/>
      </w:pPr>
      <w:r>
        <w:t xml:space="preserve">Publish three short videos per week, two Instagram carousels per week, daily Stories on four to five days, and one moderated live or long-form Q&amp;A each week. Consistency matters more than volume; reduce frequency if medical review or comment moderation cannot keep up.</w:t>
      </w:r>
    </w:p>
    <w:p>
      <w:pPr>
        <w:pStyle w:val="MdSpace"/>
        <w:spacing w:before="0" w:after="60"/>
      </w:pPr>
    </w:p>
    <w:p>
      <w:pPr>
        <w:pStyle w:val="Heading1"/>
        <w:pStyle w:val="MdHeading1"/>
      </w:pPr>
      <w:r>
        <w:t xml:space="preserve">Measurement framework</w:t>
      </w:r>
    </w:p>
    <w:p>
      <w:pPr>
        <w:pStyle w:val="MdParagraph"/>
      </w:pPr>
      <w:r>
        <w:t xml:space="preserve">Track the following weekly: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Borders>
              <w:right w:val="none"/>
            </w:tcBorders>
            <w:tcMar>
              <w:top w:type="dxa" w:w="100"/>
              <w:left w:type="dxa" w:w="120"/>
              <w:bottom w:type="dxa" w:w="100"/>
              <w:right w:type="dxa" w:w="120"/>
            </w:tcMar>
            <w:vAlign w:val="center"/>
          </w:tcPr>
          <w:p>
            <w:pPr>
              <w:pStyle w:val="MdTableHeader"/>
            </w:pPr>
            <w:r>
              <w:t xml:space="preserve">Why it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Saves and shares</w:t>
            </w:r>
          </w:p>
        </w:tc>
        <w:tc>
          <w:tcPr>
            <w:tcBorders>
              <w:right w:val="none"/>
            </w:tcBorders>
            <w:tcMar>
              <w:top w:type="dxa" w:w="80"/>
              <w:left w:type="dxa" w:w="120"/>
              <w:bottom w:type="dxa" w:w="80"/>
              <w:right w:type="dxa" w:w="120"/>
            </w:tcMar>
            <w:vAlign w:val="center"/>
          </w:tcPr>
          <w:p>
            <w:pPr>
              <w:pStyle w:val="MdTableCell"/>
            </w:pPr>
            <w:r>
              <w:t xml:space="preserve">Indicates reference value and trust, not just curiosity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profile visits</w:t>
            </w:r>
          </w:p>
        </w:tc>
        <w:tc>
          <w:tcPr>
            <w:tcBorders>
              <w:right w:val="none"/>
            </w:tcBorders>
            <w:tcMar>
              <w:top w:type="dxa" w:w="80"/>
              <w:left w:type="dxa" w:w="120"/>
              <w:bottom w:type="dxa" w:w="80"/>
              <w:right w:type="dxa" w:w="120"/>
            </w:tcMar>
            <w:vAlign w:val="center"/>
          </w:tcPr>
          <w:p>
            <w:pPr>
              <w:pStyle w:val="MdTableCell"/>
            </w:pPr>
            <w:r>
              <w:t xml:space="preserve">Measures relevance of the audience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Link clicks by UTM</w:t>
            </w:r>
          </w:p>
        </w:tc>
        <w:tc>
          <w:tcPr>
            <w:tcBorders>
              <w:right w:val="none"/>
            </w:tcBorders>
            <w:tcMar>
              <w:top w:type="dxa" w:w="80"/>
              <w:left w:type="dxa" w:w="120"/>
              <w:bottom w:type="dxa" w:w="80"/>
              <w:right w:type="dxa" w:w="120"/>
            </w:tcMar>
            <w:vAlign w:val="center"/>
          </w:tcPr>
          <w:p>
            <w:pPr>
              <w:pStyle w:val="MdTableCell"/>
            </w:pPr>
            <w:r>
              <w:t xml:space="preserve">Measures movement to owned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Guide completion or enquiry</w:t>
            </w:r>
          </w:p>
        </w:tc>
        <w:tc>
          <w:tcPr>
            <w:tcBorders>
              <w:right w:val="none"/>
            </w:tcBorders>
            <w:tcMar>
              <w:top w:type="dxa" w:w="80"/>
              <w:left w:type="dxa" w:w="120"/>
              <w:bottom w:type="dxa" w:w="80"/>
              <w:right w:type="dxa" w:w="120"/>
            </w:tcMar>
            <w:vAlign w:val="center"/>
          </w:tcPr>
          <w:p>
            <w:pPr>
              <w:pStyle w:val="MdTableCell"/>
            </w:pPr>
            <w:r>
              <w:t xml:space="preserve">Measures useful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enquiry rate</w:t>
            </w:r>
          </w:p>
        </w:tc>
        <w:tc>
          <w:tcPr>
            <w:tcBorders>
              <w:right w:val="none"/>
            </w:tcBorders>
            <w:tcMar>
              <w:top w:type="dxa" w:w="80"/>
              <w:left w:type="dxa" w:w="120"/>
              <w:bottom w:type="dxa" w:w="80"/>
              <w:right w:type="dxa" w:w="120"/>
            </w:tcMar>
            <w:vAlign w:val="center"/>
          </w:tcPr>
          <w:p>
            <w:pPr>
              <w:pStyle w:val="MdTableCell"/>
            </w:pPr>
            <w:r>
              <w:t xml:space="preserve">Separates genuine demand from casual interest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Response time</w:t>
            </w:r>
          </w:p>
        </w:tc>
        <w:tc>
          <w:tcPr>
            <w:tcBorders>
              <w:right w:val="none"/>
            </w:tcBorders>
            <w:tcMar>
              <w:top w:type="dxa" w:w="80"/>
              <w:left w:type="dxa" w:w="120"/>
              <w:bottom w:type="dxa" w:w="80"/>
              <w:right w:type="dxa" w:w="120"/>
            </w:tcMar>
            <w:vAlign w:val="center"/>
          </w:tcPr>
          <w:p>
            <w:pPr>
              <w:pStyle w:val="MdTableCell"/>
            </w:pPr>
            <w:r>
              <w:t xml:space="preserve">Influences trust and conversion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Negative-feedback and policy events</w:t>
            </w:r>
          </w:p>
        </w:tc>
        <w:tc>
          <w:tcPr>
            <w:tcBorders>
              <w:right w:val="none"/>
            </w:tcBorders>
            <w:tcMar>
              <w:top w:type="dxa" w:w="80"/>
              <w:left w:type="dxa" w:w="120"/>
              <w:bottom w:type="dxa" w:w="80"/>
              <w:right w:type="dxa" w:w="120"/>
            </w:tcMar>
            <w:vAlign w:val="center"/>
          </w:tcPr>
          <w:p>
            <w:pPr>
              <w:pStyle w:val="MdTableCell"/>
            </w:pPr>
            <w:r>
              <w:t xml:space="preserve">Protects the account and identifies risky content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Search query and comment themes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Feeds future SEO and FAQ content</w:t>
            </w:r>
          </w:p>
        </w:tc>
      </w:tr>
    </w:tbl>
    <w:p>
      <w:pPr>
        <w:pStyle w:val="MdParagraph"/>
      </w:pPr>
      <w:r>
        <w:t xml:space="preserve">Do not use follower count or viral views as the main success criteria. A successful first six weeks should produce a searchable library of questions, qualified site visits, and a clearer picture of whether the demand is education, consultation, cosmetic retail, or research supply.</w:t>
      </w:r>
    </w:p>
    <w:p>
      <w:pPr>
        <w:pStyle w:val="MdSpace"/>
        <w:spacing w:before="0" w:after="60"/>
      </w:pPr>
    </w:p>
    <w:p>
      <w:pPr>
        <w:pStyle w:val="Heading2"/>
        <w:pStyle w:val="MdHeading2"/>
      </w:pPr>
      <w:r>
        <w:t xml:space="preserve">Final recommendation</w:t>
      </w:r>
    </w:p>
    <w:p>
      <w:pPr>
        <w:pStyle w:val="MdParagraph"/>
      </w:pPr>
      <w:r>
        <w:t xml:space="preserve">Build the account as a </w:t>
      </w:r>
      <w:r>
        <w:rPr>
          <w:rStyle w:val="MdStrong"/>
          <w:b/>
          <w:bCs/>
        </w:rPr>
        <w:t xml:space="preserve">transparent South African peptide education brand</w:t>
      </w:r>
      <w:r>
        <w:t xml:space="preserve">, not as a covert product account. Capture high-intent users by answering the questions they ask before purchase: product status, evidence, provider identity, quality documents, storage, consultation, and follow-up. Send them to an owned resource that matches the content exactly, disclose the commercial relationship, and keep medical or product-specific decisions inside the appropriate professional or research-supply process.</w:t>
      </w:r>
    </w:p>
    <w:p>
      <w:pPr>
        <w:pStyle w:val="MdSpace"/>
        <w:spacing w:before="0" w:after="60"/>
      </w:pPr>
    </w:p>
    <w:p>
      <w:pPr>
        <w:pStyle w:val="MdParagraph"/>
      </w:pPr>
      <w:r>
        <w:t xml:space="preserve">This approach may grow more slowly than aggressive “miracle” or “buy now” content, but it creates a more durable audience, a stronger SEO asset, better first-party demand data, and a lower risk of account restrictions or loss of consumer trust.</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tmhbkj8ergdekgdzepgw" Type="http://schemas.openxmlformats.org/officeDocument/2006/relationships/hyperlink" Target="https://transparency.meta.com/policies/ad-standards/restricted-goods-services/drugs-pharmaceuticals/" TargetMode="External"/><Relationship Id="rIdmycu2kwl687ckj-fbgtks" Type="http://schemas.openxmlformats.org/officeDocument/2006/relationships/hyperlink" Target="https://ads.tiktok.com/help/article/tiktok-ads-policy-healthcare-pharmaceuticals"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2026-08-20T14:40:30.323Z</dcterms:created>
  <dcterms:modified xsi:type="dcterms:W3CDTF">2026-08-20T14:40:30.323Z</dcterms:modified>
</cp:coreProperties>
</file>

<file path=docProps/custom.xml><?xml version="1.0" encoding="utf-8"?>
<Properties xmlns="http://schemas.openxmlformats.org/officeDocument/2006/custom-properties" xmlns:vt="http://schemas.openxmlformats.org/officeDocument/2006/docPropsVTypes"/>
</file>