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South African Peptide Competitor Landscape and Differentiation Strategy</w:t>
      </w:r>
    </w:p>
    <w:p>
      <w:pPr>
        <w:pStyle w:val="Heading2"/>
        <w:pStyle w:val="MdHeading2"/>
      </w:pPr>
      <w:r>
        <w:t xml:space="preserve">Scope and caution</w:t>
      </w:r>
    </w:p>
    <w:p>
      <w:pPr>
        <w:pStyle w:val="MdParagraph"/>
      </w:pPr>
      <w:r>
        <w:t xml:space="preserve">This is a </w:t>
      </w:r>
      <w:r>
        <w:rPr>
          <w:rStyle w:val="MdStrong"/>
          <w:b/>
          <w:bCs/>
        </w:rPr>
        <w:t xml:space="preserve">current organic-search competitor sample</w:t>
      </w:r>
      <w:r>
        <w:t xml:space="preserve">, not a definitive ranking report. Search results vary by location, personalization, device, query wording, and time. The websites below were surfaced for South African queries such as “peptides South Africa,” “peptide therapy,” “research peptides South Africa,” and “semaglutide South Africa,” then reviewed directly. No claim is made here about their regulatory compliance or verified market share.</w:t>
      </w:r>
    </w:p>
    <w:p>
      <w:pPr>
        <w:pStyle w:val="MdSpace"/>
        <w:spacing w:before="0" w:after="60"/>
      </w:pPr>
    </w:p>
    <w:p>
      <w:pPr>
        <w:pStyle w:val="MdParagraph"/>
      </w:pPr>
      <w:r>
        <w:t xml:space="preserve">Because this is a health-related market, treat competitor claims as observed marketing language, not as validated medical fact. South African regulatory and professional review is required before adopting any product claim or sales model.</w:t>
      </w:r>
    </w:p>
    <w:p>
      <w:pPr>
        <w:pStyle w:val="MdSpace"/>
        <w:spacing w:before="0" w:after="60"/>
      </w:pPr>
    </w:p>
    <w:p>
      <w:pPr>
        <w:pStyle w:val="Heading2"/>
        <w:pStyle w:val="MdHeading2"/>
      </w:pPr>
      <w:r>
        <w:t xml:space="preserve">Competitors currently visible in the search set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Website</w:t>
            </w:r>
          </w:p>
        </w:tc>
        <w:tc>
          <w:tcPr>
            <w:tcMar>
              <w:top w:type="dxa" w:w="100"/>
              <w:left w:type="dxa" w:w="120"/>
              <w:bottom w:type="dxa" w:w="100"/>
              <w:right w:type="dxa" w:w="120"/>
            </w:tcMar>
            <w:vAlign w:val="center"/>
          </w:tcPr>
          <w:p>
            <w:pPr>
              <w:pStyle w:val="MdTableHeader"/>
            </w:pPr>
            <w:r>
              <w:t xml:space="preserve">Market model</w:t>
            </w:r>
          </w:p>
        </w:tc>
        <w:tc>
          <w:tcPr>
            <w:tcMar>
              <w:top w:type="dxa" w:w="100"/>
              <w:left w:type="dxa" w:w="120"/>
              <w:bottom w:type="dxa" w:w="100"/>
              <w:right w:type="dxa" w:w="120"/>
            </w:tcMar>
            <w:vAlign w:val="center"/>
          </w:tcPr>
          <w:p>
            <w:pPr>
              <w:pStyle w:val="MdTableHeader"/>
            </w:pPr>
            <w:r>
              <w:t xml:space="preserve">Positioning observed</w:t>
            </w:r>
          </w:p>
        </w:tc>
        <w:tc>
          <w:tcPr>
            <w:tcMar>
              <w:top w:type="dxa" w:w="100"/>
              <w:left w:type="dxa" w:w="120"/>
              <w:bottom w:type="dxa" w:w="100"/>
              <w:right w:type="dxa" w:w="120"/>
            </w:tcMar>
            <w:vAlign w:val="center"/>
          </w:tcPr>
          <w:p>
            <w:pPr>
              <w:pStyle w:val="MdTableHeader"/>
            </w:pPr>
            <w:r>
              <w:t xml:space="preserve">Main conversion</w:t>
            </w:r>
          </w:p>
        </w:tc>
        <w:tc>
          <w:tcPr>
            <w:tcBorders>
              <w:right w:val="none"/>
            </w:tcBorders>
            <w:tcMar>
              <w:top w:type="dxa" w:w="100"/>
              <w:left w:type="dxa" w:w="120"/>
              <w:bottom w:type="dxa" w:w="100"/>
              <w:right w:type="dxa" w:w="120"/>
            </w:tcMar>
            <w:vAlign w:val="center"/>
          </w:tcPr>
          <w:p>
            <w:pPr>
              <w:pStyle w:val="MdTableHeader"/>
            </w:pPr>
            <w:r>
              <w:t xml:space="preserve">Differentiation risk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hyperlink w:history="1" r:id="rIdxffsak77cp2ehfpnym6yk">
              <w:r>
                <w:rPr>
                  <w:rStyle w:val="MdLink"/>
                </w:rPr>
                <w:t xml:space="preserve">AlphaHuman</w:t>
              </w:r>
            </w:hyperlink>
          </w:p>
        </w:tc>
        <w:tc>
          <w:tcPr>
            <w:tcMar>
              <w:top w:type="dxa" w:w="80"/>
              <w:left w:type="dxa" w:w="120"/>
              <w:bottom w:type="dxa" w:w="80"/>
              <w:right w:type="dxa" w:w="120"/>
            </w:tcMar>
            <w:vAlign w:val="center"/>
          </w:tcPr>
          <w:p>
            <w:pPr>
              <w:pStyle w:val="MdTableCell"/>
            </w:pPr>
            <w:r>
              <w:t xml:space="preserve">Clinician-led, consultation plus custom-formulated protocols</w:t>
            </w:r>
          </w:p>
        </w:tc>
        <w:tc>
          <w:tcPr>
            <w:tcMar>
              <w:top w:type="dxa" w:w="80"/>
              <w:left w:type="dxa" w:w="120"/>
              <w:bottom w:type="dxa" w:w="80"/>
              <w:right w:type="dxa" w:w="120"/>
            </w:tcMar>
            <w:vAlign w:val="center"/>
          </w:tcPr>
          <w:p>
            <w:pPr>
              <w:pStyle w:val="MdTableCell"/>
            </w:pPr>
            <w:r>
              <w:t xml:space="preserve">“Medical-grade,” doctor-prescribed, custom-formulated, in-person and online; lists BPC-157, semaglutide, tirzepatide, GHK-Cu and a broad catalogue</w:t>
            </w:r>
          </w:p>
        </w:tc>
        <w:tc>
          <w:tcPr>
            <w:tcMar>
              <w:top w:type="dxa" w:w="80"/>
              <w:left w:type="dxa" w:w="120"/>
              <w:bottom w:type="dxa" w:w="80"/>
              <w:right w:type="dxa" w:w="120"/>
            </w:tcMar>
            <w:vAlign w:val="center"/>
          </w:tcPr>
          <w:p>
            <w:pPr>
              <w:pStyle w:val="MdTableCell"/>
            </w:pPr>
            <w:r>
              <w:t xml:space="preserve">Consultation; online payment/cold-chain delivery described</w:t>
            </w:r>
          </w:p>
        </w:tc>
        <w:tc>
          <w:tcPr>
            <w:tcBorders>
              <w:right w:val="none"/>
            </w:tcBorders>
            <w:tcMar>
              <w:top w:type="dxa" w:w="80"/>
              <w:left w:type="dxa" w:w="120"/>
              <w:bottom w:type="dxa" w:w="80"/>
              <w:right w:type="dxa" w:w="120"/>
            </w:tcMar>
            <w:vAlign w:val="center"/>
          </w:tcPr>
          <w:p>
            <w:pPr>
              <w:pStyle w:val="MdTableCell"/>
            </w:pPr>
            <w:r>
              <w:t xml:space="preserve">Strong breadth, branded design, consultation-to-delivery pathway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hyperlink w:history="1" r:id="rIdpcjfro3p05v67dfw01k3y">
              <w:r>
                <w:rPr>
                  <w:rStyle w:val="MdLink"/>
                </w:rPr>
                <w:t xml:space="preserve">PremierBODY</w:t>
              </w:r>
            </w:hyperlink>
          </w:p>
        </w:tc>
        <w:tc>
          <w:tcPr>
            <w:tcMar>
              <w:top w:type="dxa" w:w="80"/>
              <w:left w:type="dxa" w:w="120"/>
              <w:bottom w:type="dxa" w:w="80"/>
              <w:right w:type="dxa" w:w="120"/>
            </w:tcMar>
            <w:vAlign w:val="center"/>
          </w:tcPr>
          <w:p>
            <w:pPr>
              <w:pStyle w:val="MdTableCell"/>
            </w:pPr>
            <w:r>
              <w:t xml:space="preserve">Clinic-led peptide therapy</w:t>
            </w:r>
          </w:p>
        </w:tc>
        <w:tc>
          <w:tcPr>
            <w:tcMar>
              <w:top w:type="dxa" w:w="80"/>
              <w:left w:type="dxa" w:w="120"/>
              <w:bottom w:type="dxa" w:w="80"/>
              <w:right w:type="dxa" w:w="120"/>
            </w:tcMar>
            <w:vAlign w:val="center"/>
          </w:tcPr>
          <w:p>
            <w:pPr>
              <w:pStyle w:val="MdTableCell"/>
            </w:pPr>
            <w:r>
              <w:t xml:space="preserve">Wellness, regenerative medicine, metabolic health, hormone optimisation and age management; claims physician supervision and compounding-pharmacy supply</w:t>
            </w:r>
          </w:p>
        </w:tc>
        <w:tc>
          <w:tcPr>
            <w:tcMar>
              <w:top w:type="dxa" w:w="80"/>
              <w:left w:type="dxa" w:w="120"/>
              <w:bottom w:type="dxa" w:w="80"/>
              <w:right w:type="dxa" w:w="120"/>
            </w:tcMar>
            <w:vAlign w:val="center"/>
          </w:tcPr>
          <w:p>
            <w:pPr>
              <w:pStyle w:val="MdTableCell"/>
            </w:pPr>
            <w:r>
              <w:t xml:space="preserve">Medical form / get started</w:t>
            </w:r>
          </w:p>
        </w:tc>
        <w:tc>
          <w:tcPr>
            <w:tcBorders>
              <w:right w:val="none"/>
            </w:tcBorders>
            <w:tcMar>
              <w:top w:type="dxa" w:w="80"/>
              <w:left w:type="dxa" w:w="120"/>
              <w:bottom w:type="dxa" w:w="80"/>
              <w:right w:type="dxa" w:w="120"/>
            </w:tcMar>
            <w:vAlign w:val="center"/>
          </w:tcPr>
          <w:p>
            <w:pPr>
              <w:pStyle w:val="MdTableCell"/>
            </w:pPr>
            <w:r>
              <w:t xml:space="preserve">Broad protocol menu and strong “medical” framing, but claims-heavy copy creates an opportunity for more restrained evidence communication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hyperlink w:history="1" r:id="rIdcaz0xbc0mdcjxzd559bf5">
              <w:r>
                <w:rPr>
                  <w:rStyle w:val="MdLink"/>
                </w:rPr>
                <w:t xml:space="preserve">Dr Thys Heyns / The T Clinic</w:t>
              </w:r>
            </w:hyperlink>
          </w:p>
        </w:tc>
        <w:tc>
          <w:tcPr>
            <w:tcMar>
              <w:top w:type="dxa" w:w="80"/>
              <w:left w:type="dxa" w:w="120"/>
              <w:bottom w:type="dxa" w:w="80"/>
              <w:right w:type="dxa" w:w="120"/>
            </w:tcMar>
            <w:vAlign w:val="center"/>
          </w:tcPr>
          <w:p>
            <w:pPr>
              <w:pStyle w:val="MdTableCell"/>
            </w:pPr>
            <w:r>
              <w:t xml:space="preserve">Doctor-led medical/aesthetic clinic</w:t>
            </w:r>
          </w:p>
        </w:tc>
        <w:tc>
          <w:tcPr>
            <w:tcMar>
              <w:top w:type="dxa" w:w="80"/>
              <w:left w:type="dxa" w:w="120"/>
              <w:bottom w:type="dxa" w:w="80"/>
              <w:right w:type="dxa" w:w="120"/>
            </w:tcMar>
            <w:vAlign w:val="center"/>
          </w:tcPr>
          <w:p>
            <w:pPr>
              <w:pStyle w:val="MdTableCell"/>
            </w:pPr>
            <w:r>
              <w:t xml:space="preserve">Individually prescribed, medically supervised, bloodwork-led protocols; Johannesburg, Pretoria and Groblersdal</w:t>
            </w:r>
          </w:p>
        </w:tc>
        <w:tc>
          <w:tcPr>
            <w:tcMar>
              <w:top w:type="dxa" w:w="80"/>
              <w:left w:type="dxa" w:w="120"/>
              <w:bottom w:type="dxa" w:w="80"/>
              <w:right w:type="dxa" w:w="120"/>
            </w:tcMar>
            <w:vAlign w:val="center"/>
          </w:tcPr>
          <w:p>
            <w:pPr>
              <w:pStyle w:val="MdTableCell"/>
            </w:pPr>
            <w:r>
              <w:t xml:space="preserve">Book a consultation, email, WhatsApp</w:t>
            </w:r>
          </w:p>
        </w:tc>
        <w:tc>
          <w:tcPr>
            <w:tcBorders>
              <w:right w:val="none"/>
            </w:tcBorders>
            <w:tcMar>
              <w:top w:type="dxa" w:w="80"/>
              <w:left w:type="dxa" w:w="120"/>
              <w:bottom w:type="dxa" w:w="80"/>
              <w:right w:type="dxa" w:w="120"/>
            </w:tcMar>
            <w:vAlign w:val="center"/>
          </w:tcPr>
          <w:p>
            <w:pPr>
              <w:pStyle w:val="MdTableCell"/>
            </w:pPr>
            <w:r>
              <w:t xml:space="preserve">Strong named-doctor positioning, local clinics, private consultation, and polished clinical process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hyperlink w:history="1" r:id="rIdxnjgckapnh5dm842jpte8">
              <w:r>
                <w:rPr>
                  <w:rStyle w:val="MdLink"/>
                </w:rPr>
                <w:t xml:space="preserve">mobivIVe</w:t>
              </w:r>
            </w:hyperlink>
          </w:p>
        </w:tc>
        <w:tc>
          <w:tcPr>
            <w:tcMar>
              <w:top w:type="dxa" w:w="80"/>
              <w:left w:type="dxa" w:w="120"/>
              <w:bottom w:type="dxa" w:w="80"/>
              <w:right w:type="dxa" w:w="120"/>
            </w:tcMar>
            <w:vAlign w:val="center"/>
          </w:tcPr>
          <w:p>
            <w:pPr>
              <w:pStyle w:val="MdTableCell"/>
            </w:pPr>
            <w:r>
              <w:t xml:space="preserve">Pharmaceutical/clinic supply model</w:t>
            </w:r>
          </w:p>
        </w:tc>
        <w:tc>
          <w:tcPr>
            <w:tcMar>
              <w:top w:type="dxa" w:w="80"/>
              <w:left w:type="dxa" w:w="120"/>
              <w:bottom w:type="dxa" w:w="80"/>
              <w:right w:type="dxa" w:w="120"/>
            </w:tcMar>
            <w:vAlign w:val="center"/>
          </w:tcPr>
          <w:p>
            <w:pPr>
              <w:pStyle w:val="MdTableCell"/>
            </w:pPr>
            <w:r>
              <w:t xml:space="preserve">Pharmaceutical-grade positioning, sterile compounding facilities, prefilled cartridge pens, medical script, doctor and clinic supply</w:t>
            </w:r>
          </w:p>
        </w:tc>
        <w:tc>
          <w:tcPr>
            <w:tcMar>
              <w:top w:type="dxa" w:w="80"/>
              <w:left w:type="dxa" w:w="120"/>
              <w:bottom w:type="dxa" w:w="80"/>
              <w:right w:type="dxa" w:w="120"/>
            </w:tcMar>
            <w:vAlign w:val="center"/>
          </w:tcPr>
          <w:p>
            <w:pPr>
              <w:pStyle w:val="MdTableCell"/>
            </w:pPr>
            <w:r>
              <w:t xml:space="preserve">Product enquiry/order on WhatsApp</w:t>
            </w:r>
          </w:p>
        </w:tc>
        <w:tc>
          <w:tcPr>
            <w:tcBorders>
              <w:right w:val="none"/>
            </w:tcBorders>
            <w:tcMar>
              <w:top w:type="dxa" w:w="80"/>
              <w:left w:type="dxa" w:w="120"/>
              <w:bottom w:type="dxa" w:w="80"/>
              <w:right w:type="dxa" w:w="120"/>
            </w:tcMar>
            <w:vAlign w:val="center"/>
          </w:tcPr>
          <w:p>
            <w:pPr>
              <w:pStyle w:val="MdTableCell"/>
            </w:pPr>
            <w:r>
              <w:t xml:space="preserve">Strongest product-format and fulfilment convenience proposition; visible semaglutide, tirzepatide and Ozempic pricing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hyperlink w:history="1" r:id="rIdd-1zlz4zswq7z2oeylc57">
              <w:r>
                <w:rPr>
                  <w:rStyle w:val="MdLink"/>
                </w:rPr>
                <w:t xml:space="preserve">Peptide Clinics South Africa</w:t>
              </w:r>
            </w:hyperlink>
          </w:p>
        </w:tc>
        <w:tc>
          <w:tcPr>
            <w:tcMar>
              <w:top w:type="dxa" w:w="80"/>
              <w:left w:type="dxa" w:w="120"/>
              <w:bottom w:type="dxa" w:w="80"/>
              <w:right w:type="dxa" w:w="120"/>
            </w:tcMar>
            <w:vAlign w:val="center"/>
          </w:tcPr>
          <w:p>
            <w:pPr>
              <w:pStyle w:val="MdTableCell"/>
            </w:pPr>
            <w:r>
              <w:t xml:space="preserve">Doctor-prescribed clinic with educational content</w:t>
            </w:r>
          </w:p>
        </w:tc>
        <w:tc>
          <w:tcPr>
            <w:tcMar>
              <w:top w:type="dxa" w:w="80"/>
              <w:left w:type="dxa" w:w="120"/>
              <w:bottom w:type="dxa" w:w="80"/>
              <w:right w:type="dxa" w:w="120"/>
            </w:tcMar>
            <w:vAlign w:val="center"/>
          </w:tcPr>
          <w:p>
            <w:pPr>
              <w:pStyle w:val="MdTableCell"/>
            </w:pPr>
            <w:r>
              <w:t xml:space="preserve">Patient prequalification, prescription-only framing, online clinic/login, Johannesburg laboratory, nationwide shipping</w:t>
            </w:r>
          </w:p>
        </w:tc>
        <w:tc>
          <w:tcPr>
            <w:tcMar>
              <w:top w:type="dxa" w:w="80"/>
              <w:left w:type="dxa" w:w="120"/>
              <w:bottom w:type="dxa" w:w="80"/>
              <w:right w:type="dxa" w:w="120"/>
            </w:tcMar>
            <w:vAlign w:val="center"/>
          </w:tcPr>
          <w:p>
            <w:pPr>
              <w:pStyle w:val="MdTableCell"/>
            </w:pPr>
            <w:r>
              <w:t xml:space="preserve">Register / online clinic</w:t>
            </w:r>
          </w:p>
        </w:tc>
        <w:tc>
          <w:tcPr>
            <w:tcBorders>
              <w:right w:val="none"/>
            </w:tcBorders>
            <w:tcMar>
              <w:top w:type="dxa" w:w="80"/>
              <w:left w:type="dxa" w:w="120"/>
              <w:bottom w:type="dxa" w:w="80"/>
              <w:right w:type="dxa" w:w="120"/>
            </w:tcMar>
            <w:vAlign w:val="center"/>
          </w:tcPr>
          <w:p>
            <w:pPr>
              <w:pStyle w:val="MdTableCell"/>
            </w:pPr>
            <w:r>
              <w:t xml:space="preserve">Long-standing informational footprint and “facts vs fiction” content; accessible educational SEO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hyperlink w:history="1" r:id="rIdmt_lrjjewcabffhtubzid">
              <w:r>
                <w:rPr>
                  <w:rStyle w:val="MdLink"/>
                </w:rPr>
                <w:t xml:space="preserve">RealFit</w:t>
              </w:r>
            </w:hyperlink>
          </w:p>
        </w:tc>
        <w:tc>
          <w:tcPr>
            <w:tcMar>
              <w:top w:type="dxa" w:w="80"/>
              <w:left w:type="dxa" w:w="120"/>
              <w:bottom w:type="dxa" w:w="80"/>
              <w:right w:type="dxa" w:w="120"/>
            </w:tcMar>
            <w:vAlign w:val="center"/>
          </w:tcPr>
          <w:p>
            <w:pPr>
              <w:pStyle w:val="MdTableCell"/>
            </w:pPr>
            <w:r>
              <w:t xml:space="preserve">Weight-management and wellness/retail network</w:t>
            </w:r>
          </w:p>
        </w:tc>
        <w:tc>
          <w:tcPr>
            <w:tcMar>
              <w:top w:type="dxa" w:w="80"/>
              <w:left w:type="dxa" w:w="120"/>
              <w:bottom w:type="dxa" w:w="80"/>
              <w:right w:type="dxa" w:w="120"/>
            </w:tcMar>
            <w:vAlign w:val="center"/>
          </w:tcPr>
          <w:p>
            <w:pPr>
              <w:pStyle w:val="MdTableCell"/>
            </w:pPr>
            <w:r>
              <w:t xml:space="preserve">GLP-1 weight loss, nutrition coaching, training, monitoring and maintenance; also discusses semaglutide, tirzepatide, retatrutide and GHK-Cu</w:t>
            </w:r>
          </w:p>
        </w:tc>
        <w:tc>
          <w:tcPr>
            <w:tcMar>
              <w:top w:type="dxa" w:w="80"/>
              <w:left w:type="dxa" w:w="120"/>
              <w:bottom w:type="dxa" w:w="80"/>
              <w:right w:type="dxa" w:w="120"/>
            </w:tcMar>
            <w:vAlign w:val="center"/>
          </w:tcPr>
          <w:p>
            <w:pPr>
              <w:pStyle w:val="MdTableCell"/>
            </w:pPr>
            <w:r>
              <w:t xml:space="preserve">Retailer or client enquiry</w:t>
            </w:r>
          </w:p>
        </w:tc>
        <w:tc>
          <w:tcPr>
            <w:tcBorders>
              <w:right w:val="none"/>
            </w:tcBorders>
            <w:tcMar>
              <w:top w:type="dxa" w:w="80"/>
              <w:left w:type="dxa" w:w="120"/>
              <w:bottom w:type="dxa" w:w="80"/>
              <w:right w:type="dxa" w:w="120"/>
            </w:tcMar>
            <w:vAlign w:val="center"/>
          </w:tcPr>
          <w:p>
            <w:pPr>
              <w:pStyle w:val="MdTableCell"/>
            </w:pPr>
            <w:r>
              <w:t xml:space="preserve">Differentiates through nutrition, accountability and maintenance rather than peptide supply alone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hyperlink w:history="1" r:id="rIdfh6qs4h8sxfkc2irkvgft">
              <w:r>
                <w:rPr>
                  <w:rStyle w:val="MdLink"/>
                </w:rPr>
                <w:t xml:space="preserve">Pure Performance Labs</w:t>
              </w:r>
            </w:hyperlink>
          </w:p>
        </w:tc>
        <w:tc>
          <w:tcPr>
            <w:tcMar>
              <w:top w:type="dxa" w:w="80"/>
              <w:left w:type="dxa" w:w="120"/>
              <w:bottom w:type="dxa" w:w="80"/>
              <w:right w:type="dxa" w:w="120"/>
            </w:tcMar>
            <w:vAlign w:val="center"/>
          </w:tcPr>
          <w:p>
            <w:pPr>
              <w:pStyle w:val="MdTableCell"/>
            </w:pPr>
            <w:r>
              <w:t xml:space="preserve">Research supply</w:t>
            </w:r>
          </w:p>
        </w:tc>
        <w:tc>
          <w:tcPr>
            <w:tcMar>
              <w:top w:type="dxa" w:w="80"/>
              <w:left w:type="dxa" w:w="120"/>
              <w:bottom w:type="dxa" w:w="80"/>
              <w:right w:type="dxa" w:w="120"/>
            </w:tcMar>
            <w:vAlign w:val="center"/>
          </w:tcPr>
          <w:p>
            <w:pPr>
              <w:pStyle w:val="MdTableCell"/>
            </w:pPr>
            <w:r>
              <w:t xml:space="preserve">Research-only categories: metabolic, tissue repair, cognitive/longevity, skin/hormonal/vitality; 99%+ purity and South African supply</w:t>
            </w:r>
          </w:p>
        </w:tc>
        <w:tc>
          <w:tcPr>
            <w:tcMar>
              <w:top w:type="dxa" w:w="80"/>
              <w:left w:type="dxa" w:w="120"/>
              <w:bottom w:type="dxa" w:w="80"/>
              <w:right w:type="dxa" w:w="120"/>
            </w:tcMar>
            <w:vAlign w:val="center"/>
          </w:tcPr>
          <w:p>
            <w:pPr>
              <w:pStyle w:val="MdTableCell"/>
            </w:pPr>
            <w:r>
              <w:t xml:space="preserve">Browse catalogue / enquiry</w:t>
            </w:r>
          </w:p>
        </w:tc>
        <w:tc>
          <w:tcPr>
            <w:tcBorders>
              <w:right w:val="none"/>
            </w:tcBorders>
            <w:tcMar>
              <w:top w:type="dxa" w:w="80"/>
              <w:left w:type="dxa" w:w="120"/>
              <w:bottom w:type="dxa" w:w="80"/>
              <w:right w:type="dxa" w:w="120"/>
            </w:tcMar>
            <w:vAlign w:val="center"/>
          </w:tcPr>
          <w:p>
            <w:pPr>
              <w:pStyle w:val="MdTableCell"/>
            </w:pPr>
            <w:r>
              <w:t xml:space="preserve">Clear category taxonomy, visible company details, shipping/returns/privacy pages, and explicit research disclaimer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hyperlink w:history="1" r:id="rIdvnbvm6p7wgti5lpvh6ulw">
              <w:r>
                <w:rPr>
                  <w:rStyle w:val="MdLink"/>
                </w:rPr>
                <w:t xml:space="preserve">Protopep</w:t>
              </w:r>
            </w:hyperlink>
          </w:p>
        </w:tc>
        <w:tc>
          <w:tcPr>
            <w:tcMar>
              <w:top w:type="dxa" w:w="80"/>
              <w:left w:type="dxa" w:w="120"/>
              <w:bottom w:type="dxa" w:w="80"/>
              <w:right w:type="dxa" w:w="120"/>
            </w:tcMar>
            <w:vAlign w:val="center"/>
          </w:tcPr>
          <w:p>
            <w:pPr>
              <w:pStyle w:val="MdTableCell"/>
            </w:pPr>
            <w:r>
              <w:t xml:space="preserve">Research supply ecommerce</w:t>
            </w:r>
          </w:p>
        </w:tc>
        <w:tc>
          <w:tcPr>
            <w:tcMar>
              <w:top w:type="dxa" w:w="80"/>
              <w:left w:type="dxa" w:w="120"/>
              <w:bottom w:type="dxa" w:w="80"/>
              <w:right w:type="dxa" w:w="120"/>
            </w:tcMar>
            <w:vAlign w:val="center"/>
          </w:tcPr>
          <w:p>
            <w:pPr>
              <w:pStyle w:val="MdTableCell"/>
            </w:pPr>
            <w:r>
              <w:t xml:space="preserve">99%+ purity, third-party testing, COA, cold-chain, research documentation, product finder, product catalogue</w:t>
            </w:r>
          </w:p>
        </w:tc>
        <w:tc>
          <w:tcPr>
            <w:tcMar>
              <w:top w:type="dxa" w:w="80"/>
              <w:left w:type="dxa" w:w="120"/>
              <w:bottom w:type="dxa" w:w="80"/>
              <w:right w:type="dxa" w:w="120"/>
            </w:tcMar>
            <w:vAlign w:val="center"/>
          </w:tcPr>
          <w:p>
            <w:pPr>
              <w:pStyle w:val="MdTableCell"/>
            </w:pPr>
            <w:r>
              <w:t xml:space="preserve">Add to cart / browse products</w:t>
            </w:r>
          </w:p>
        </w:tc>
        <w:tc>
          <w:tcPr>
            <w:tcBorders>
              <w:right w:val="none"/>
            </w:tcBorders>
            <w:tcMar>
              <w:top w:type="dxa" w:w="80"/>
              <w:left w:type="dxa" w:w="120"/>
              <w:bottom w:type="dxa" w:w="80"/>
              <w:right w:type="dxa" w:w="120"/>
            </w:tcMar>
            <w:vAlign w:val="center"/>
          </w:tcPr>
          <w:p>
            <w:pPr>
              <w:pStyle w:val="MdTableCell"/>
            </w:pPr>
            <w:r>
              <w:t xml:space="preserve">Strongest research UX and documentation architecture; clear product merchandising and resource pages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hyperlink w:history="1" r:id="rIdpuf_7f8s72kmrikehkvna">
              <w:r>
                <w:rPr>
                  <w:rStyle w:val="MdLink"/>
                </w:rPr>
                <w:t xml:space="preserve">ReGen-X</w:t>
              </w:r>
            </w:hyperlink>
          </w:p>
        </w:tc>
        <w:tc>
          <w:tcPr>
            <w:tcMar>
              <w:top w:type="dxa" w:w="80"/>
              <w:left w:type="dxa" w:w="120"/>
              <w:bottom w:type="dxa" w:w="80"/>
              <w:right w:type="dxa" w:w="120"/>
            </w:tcMar>
            <w:vAlign w:val="center"/>
          </w:tcPr>
          <w:p>
            <w:pPr>
              <w:pStyle w:val="MdTableCell"/>
            </w:pPr>
            <w:r>
              <w:t xml:space="preserve">Research supply ecommerce</w:t>
            </w:r>
          </w:p>
        </w:tc>
        <w:tc>
          <w:tcPr>
            <w:tcMar>
              <w:top w:type="dxa" w:w="80"/>
              <w:left w:type="dxa" w:w="120"/>
              <w:bottom w:type="dxa" w:w="80"/>
              <w:right w:type="dxa" w:w="120"/>
            </w:tcMar>
            <w:vAlign w:val="center"/>
          </w:tcPr>
          <w:p>
            <w:pPr>
              <w:pStyle w:val="MdTableCell"/>
            </w:pPr>
            <w:r>
              <w:t xml:space="preserve">Research-grade compounds, third-party testing, local WhatsApp support, bulk pricing, categories by research pathway</w:t>
            </w:r>
          </w:p>
        </w:tc>
        <w:tc>
          <w:tcPr>
            <w:tcMar>
              <w:top w:type="dxa" w:w="80"/>
              <w:left w:type="dxa" w:w="120"/>
              <w:bottom w:type="dxa" w:w="80"/>
              <w:right w:type="dxa" w:w="120"/>
            </w:tcMar>
            <w:vAlign w:val="center"/>
          </w:tcPr>
          <w:p>
            <w:pPr>
              <w:pStyle w:val="MdTableCell"/>
            </w:pPr>
            <w:r>
              <w:t xml:space="preserve">Shop products / WhatsApp</w:t>
            </w:r>
          </w:p>
        </w:tc>
        <w:tc>
          <w:tcPr>
            <w:tcBorders>
              <w:right w:val="none"/>
            </w:tcBorders>
            <w:tcMar>
              <w:top w:type="dxa" w:w="80"/>
              <w:left w:type="dxa" w:w="120"/>
              <w:bottom w:type="dxa" w:w="80"/>
              <w:right w:type="dxa" w:w="120"/>
            </w:tcMar>
            <w:vAlign w:val="center"/>
          </w:tcPr>
          <w:p>
            <w:pPr>
              <w:pStyle w:val="MdTableCell"/>
            </w:pPr>
            <w:r>
              <w:t xml:space="preserve">Simple catalogue, local support, product categories, FAQ and batch-documentation promise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hyperlink w:history="1" r:id="rIdrho2jowsjsfh8xr-zkyi_">
              <w:r>
                <w:rPr>
                  <w:rStyle w:val="MdLink"/>
                </w:rPr>
                <w:t xml:space="preserve">Research Peptides South Africa</w:t>
              </w:r>
            </w:hyperlink>
          </w:p>
        </w:tc>
        <w:tc>
          <w:tcPr>
            <w:tcMar>
              <w:top w:type="dxa" w:w="80"/>
              <w:left w:type="dxa" w:w="120"/>
              <w:bottom w:type="dxa" w:w="80"/>
              <w:right w:type="dxa" w:w="120"/>
            </w:tcMar>
            <w:vAlign w:val="center"/>
          </w:tcPr>
          <w:p>
            <w:pPr>
              <w:pStyle w:val="MdTableCell"/>
            </w:pPr>
            <w:r>
              <w:t xml:space="preserve">Long-running research/peptide ecommerce</w:t>
            </w:r>
          </w:p>
        </w:tc>
        <w:tc>
          <w:tcPr>
            <w:tcMar>
              <w:top w:type="dxa" w:w="80"/>
              <w:left w:type="dxa" w:w="120"/>
              <w:bottom w:type="dxa" w:w="80"/>
              <w:right w:type="dxa" w:w="120"/>
            </w:tcMar>
            <w:vAlign w:val="center"/>
          </w:tcPr>
          <w:p>
            <w:pPr>
              <w:pStyle w:val="MdTableCell"/>
            </w:pPr>
            <w:r>
              <w:t xml:space="preserve">Nationwide shipping, courier and cold-chain information, consumables, anonymous packaging, company/VAT/trading reassurance</w:t>
            </w:r>
          </w:p>
        </w:tc>
        <w:tc>
          <w:tcPr>
            <w:tcMar>
              <w:top w:type="dxa" w:w="80"/>
              <w:left w:type="dxa" w:w="120"/>
              <w:bottom w:type="dxa" w:w="80"/>
              <w:right w:type="dxa" w:w="120"/>
            </w:tcMar>
            <w:vAlign w:val="center"/>
          </w:tcPr>
          <w:p>
            <w:pPr>
              <w:pStyle w:val="MdTableCell"/>
            </w:pPr>
            <w:r>
              <w:t xml:space="preserve">Shop / WhatsApp / EFT or card</w:t>
            </w:r>
          </w:p>
        </w:tc>
        <w:tc>
          <w:tcPr>
            <w:tcBorders>
              <w:right w:val="none"/>
            </w:tcBorders>
            <w:tcMar>
              <w:top w:type="dxa" w:w="80"/>
              <w:left w:type="dxa" w:w="120"/>
              <w:bottom w:type="dxa" w:w="80"/>
              <w:right w:type="dxa" w:w="120"/>
            </w:tcMar>
            <w:vAlign w:val="center"/>
          </w:tcPr>
          <w:p>
            <w:pPr>
              <w:pStyle w:val="MdTableCell"/>
            </w:pPr>
            <w:r>
              <w:t xml:space="preserve">Operational trust and delivery detail; broad catalogue and older domain footprint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hyperlink w:history="1" r:id="rIdpbi_6f18scfbqhjwoghb7">
              <w:r>
                <w:rPr>
                  <w:rStyle w:val="MdLink"/>
                </w:rPr>
                <w:t xml:space="preserve">Peptide Clinics educational article</w:t>
              </w:r>
            </w:hyperlink>
          </w:p>
        </w:tc>
        <w:tc>
          <w:tcPr>
            <w:tcMar>
              <w:top w:type="dxa" w:w="80"/>
              <w:left w:type="dxa" w:w="120"/>
              <w:bottom w:type="dxa" w:w="80"/>
              <w:right w:type="dxa" w:w="120"/>
            </w:tcMar>
            <w:vAlign w:val="center"/>
          </w:tcPr>
          <w:p>
            <w:pPr>
              <w:pStyle w:val="MdTableCell"/>
            </w:pPr>
            <w:r>
              <w:t xml:space="preserve">Informational/clinic SEO</w:t>
            </w:r>
          </w:p>
        </w:tc>
        <w:tc>
          <w:tcPr>
            <w:tcMar>
              <w:top w:type="dxa" w:w="80"/>
              <w:left w:type="dxa" w:w="120"/>
              <w:bottom w:type="dxa" w:w="80"/>
              <w:right w:type="dxa" w:w="120"/>
            </w:tcMar>
            <w:vAlign w:val="center"/>
          </w:tcPr>
          <w:p>
            <w:pPr>
              <w:pStyle w:val="MdTableCell"/>
            </w:pPr>
            <w:r>
              <w:t xml:space="preserve">“Facts vs fiction,” legal/prescription framing, online registration and patient qualification</w:t>
            </w:r>
          </w:p>
        </w:tc>
        <w:tc>
          <w:tcPr>
            <w:tcMar>
              <w:top w:type="dxa" w:w="80"/>
              <w:left w:type="dxa" w:w="120"/>
              <w:bottom w:type="dxa" w:w="80"/>
              <w:right w:type="dxa" w:w="120"/>
            </w:tcMar>
            <w:vAlign w:val="center"/>
          </w:tcPr>
          <w:p>
            <w:pPr>
              <w:pStyle w:val="MdTableCell"/>
            </w:pPr>
            <w:r>
              <w:t xml:space="preserve">Register / clinic enquiry</w:t>
            </w:r>
          </w:p>
        </w:tc>
        <w:tc>
          <w:tcPr>
            <w:tcBorders>
              <w:right w:val="none"/>
            </w:tcBorders>
            <w:tcMar>
              <w:top w:type="dxa" w:w="80"/>
              <w:left w:type="dxa" w:w="120"/>
              <w:bottom w:type="dxa" w:w="80"/>
              <w:right w:type="dxa" w:w="120"/>
            </w:tcMar>
            <w:vAlign w:val="center"/>
          </w:tcPr>
          <w:p>
            <w:pPr>
              <w:pStyle w:val="MdTableCell"/>
            </w:pPr>
            <w:r>
              <w:t xml:space="preserve">Captures educational intent and addresses legality questions directly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hyperlink w:history="1" r:id="rIduebapw_c1bwbgneaa4lhv">
              <w:r>
                <w:rPr>
                  <w:rStyle w:val="MdLink"/>
                </w:rPr>
                <w:t xml:space="preserve">Aesthetic Appointment</w:t>
              </w:r>
            </w:hyperlink>
          </w:p>
        </w:tc>
        <w:tc>
          <w:tcPr>
            <w:tcBorders>
              <w:bottom w:val="single" w:color="E1E4E8" w:sz="4"/>
            </w:tcBorders>
            <w:tcMar>
              <w:top w:type="dxa" w:w="80"/>
              <w:left w:type="dxa" w:w="120"/>
              <w:bottom w:type="dxa" w:w="80"/>
              <w:right w:type="dxa" w:w="120"/>
            </w:tcMar>
            <w:vAlign w:val="center"/>
          </w:tcPr>
          <w:p>
            <w:pPr>
              <w:pStyle w:val="MdTableCell"/>
            </w:pPr>
            <w:r>
              <w:t xml:space="preserve">Medical editorial / referral ecosystem</w:t>
            </w:r>
          </w:p>
        </w:tc>
        <w:tc>
          <w:tcPr>
            <w:tcBorders>
              <w:bottom w:val="single" w:color="E1E4E8" w:sz="4"/>
            </w:tcBorders>
            <w:tcMar>
              <w:top w:type="dxa" w:w="80"/>
              <w:left w:type="dxa" w:w="120"/>
              <w:bottom w:type="dxa" w:w="80"/>
              <w:right w:type="dxa" w:w="120"/>
            </w:tcMar>
            <w:vAlign w:val="center"/>
          </w:tcPr>
          <w:p>
            <w:pPr>
              <w:pStyle w:val="MdTableCell"/>
            </w:pPr>
            <w:r>
              <w:t xml:space="preserve">Multi-doctor, evidence-aware patient guide distinguishing regulated medical peptides from wellness/experimental products</w:t>
            </w:r>
          </w:p>
        </w:tc>
        <w:tc>
          <w:tcPr>
            <w:tcBorders>
              <w:bottom w:val="single" w:color="E1E4E8" w:sz="4"/>
            </w:tcBorders>
            <w:tcMar>
              <w:top w:type="dxa" w:w="80"/>
              <w:left w:type="dxa" w:w="120"/>
              <w:bottom w:type="dxa" w:w="80"/>
              <w:right w:type="dxa" w:w="120"/>
            </w:tcMar>
            <w:vAlign w:val="center"/>
          </w:tcPr>
          <w:p>
            <w:pPr>
              <w:pStyle w:val="MdTableCell"/>
            </w:pPr>
            <w:r>
              <w:t xml:space="preserve">Read related content / likely clinic discovery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Strongest visible “what is real vs hype” editorial positioning and named medical contributors</w:t>
            </w:r>
          </w:p>
        </w:tc>
      </w:tr>
    </w:tbl>
    <w:p>
      <w:pPr>
        <w:pStyle w:val="Heading2"/>
        <w:pStyle w:val="MdHeading2"/>
      </w:pPr>
      <w:r>
        <w:t xml:space="preserve">Competitive patterns</w:t>
      </w:r>
    </w:p>
    <w:p>
      <w:pPr>
        <w:pStyle w:val="Heading3"/>
        <w:pStyle w:val="MdHeading3"/>
      </w:pPr>
      <w:r>
        <w:t xml:space="preserve">The market is split into two incompatible funnels</w:t>
      </w:r>
    </w:p>
    <w:p>
      <w:pPr>
        <w:pStyle w:val="MdParagraph"/>
      </w:pPr>
      <w:r>
        <w:t xml:space="preserve">The first group sells or promotes </w:t>
      </w:r>
      <w:r>
        <w:rPr>
          <w:rStyle w:val="MdStrong"/>
          <w:b/>
          <w:bCs/>
        </w:rPr>
        <w:t xml:space="preserve">clinician-led treatment</w:t>
      </w:r>
      <w:r>
        <w:t xml:space="preserve">: AlphaHuman, PremierBODY, Dr Thys Heyns, mobivIVe, Peptide Clinics, and RealFit. Their common themes are medical supervision, custom protocols, compounding or pharmaceutical-grade language, bloodwork, WhatsApp, and convenience.</w:t>
      </w:r>
    </w:p>
    <w:p>
      <w:pPr>
        <w:pStyle w:val="MdSpace"/>
        <w:spacing w:before="0" w:after="60"/>
      </w:pPr>
    </w:p>
    <w:p>
      <w:pPr>
        <w:pStyle w:val="MdParagraph"/>
      </w:pPr>
      <w:r>
        <w:t xml:space="preserve">The second group sells </w:t>
      </w:r>
      <w:r>
        <w:rPr>
          <w:rStyle w:val="MdStrong"/>
          <w:b/>
          <w:bCs/>
        </w:rPr>
        <w:t xml:space="preserve">research-use products</w:t>
      </w:r>
      <w:r>
        <w:t xml:space="preserve">: Pure Performance Labs, Protopep, ReGen-X, and Research Peptides South Africa. Their common themes are purity, COAs, categories, cold-chain or storage, ecommerce, local delivery, bulk pricing, and research-only disclaimers.</w:t>
      </w:r>
    </w:p>
    <w:p>
      <w:pPr>
        <w:pStyle w:val="MdSpace"/>
        <w:spacing w:before="0" w:after="60"/>
      </w:pPr>
    </w:p>
    <w:p>
      <w:pPr>
        <w:pStyle w:val="MdParagraph"/>
      </w:pPr>
      <w:r>
        <w:t xml:space="preserve">A new business should not combine these propositions casually. A site that says “research use only” while simultaneously showing human dosing, injury-healing, weight-loss, or injection claims will be difficult to position credibly and may create platform and regulatory risk.</w:t>
      </w:r>
    </w:p>
    <w:p>
      <w:pPr>
        <w:pStyle w:val="MdSpace"/>
        <w:spacing w:before="0" w:after="60"/>
      </w:pPr>
    </w:p>
    <w:p>
      <w:pPr>
        <w:pStyle w:val="Heading3"/>
        <w:pStyle w:val="MdHeading3"/>
      </w:pPr>
      <w:r>
        <w:t xml:space="preserve">The dominant trust language is broad and often difficult to verify</w:t>
      </w:r>
    </w:p>
    <w:p>
      <w:pPr>
        <w:pStyle w:val="MdParagraph"/>
      </w:pPr>
      <w:r>
        <w:t xml:space="preserve">Competitors repeatedly use phrases such as “medical-grade,” “pharmaceutical-grade,” “SAHPRA-approved,” “clinical-grade,” “quality guaranteed,” “healing,” “anti-aging,” and “results.” Some pages also list many experimental compounds and detailed protocols. This creates an opportunity to differentiate through </w:t>
      </w:r>
      <w:r>
        <w:rPr>
          <w:rStyle w:val="MdStrong"/>
          <w:b/>
          <w:bCs/>
        </w:rPr>
        <w:t xml:space="preserve">specific, verifiable evidence</w:t>
      </w:r>
      <w:r>
        <w:t xml:space="preserve"> rather than stronger adjectives.</w:t>
      </w:r>
    </w:p>
    <w:p>
      <w:pPr>
        <w:pStyle w:val="MdSpace"/>
        <w:spacing w:before="0" w:after="60"/>
      </w:pPr>
    </w:p>
    <w:p>
      <w:pPr>
        <w:pStyle w:val="Heading3"/>
        <w:pStyle w:val="MdHeading3"/>
      </w:pPr>
      <w:r>
        <w:t xml:space="preserve">Convenience is already well covered</w:t>
      </w:r>
    </w:p>
    <w:p>
      <w:pPr>
        <w:pStyle w:val="MdParagraph"/>
      </w:pPr>
      <w:r>
        <w:t xml:space="preserve">Competitors offer WhatsApp, online forms, delivery, prefilled pens, nationwide shipping, anonymous packaging, stock or backorder information, and payment options. Convenience alone will not be a sufficient differentiator unless the business can offer a materially better verified service level.</w:t>
      </w:r>
    </w:p>
    <w:p>
      <w:pPr>
        <w:pStyle w:val="MdSpace"/>
        <w:spacing w:before="0" w:after="60"/>
      </w:pPr>
    </w:p>
    <w:p>
      <w:pPr>
        <w:pStyle w:val="Heading3"/>
        <w:pStyle w:val="MdHeading3"/>
      </w:pPr>
      <w:r>
        <w:t xml:space="preserve">Educational content quality is uneven</w:t>
      </w:r>
    </w:p>
    <w:p>
      <w:pPr>
        <w:pStyle w:val="MdParagraph"/>
      </w:pPr>
      <w:r>
        <w:t xml:space="preserve">Peptide Clinics has an established educational footprint, while Aesthetic Appointment offers a more cautious, multi-doctor patient guide that distinguishes regulated medical peptides from experimental wellness products. Many commercial pages use long benefit lists but provide limited claim-level evidence, publication dates, medical review information, or structured uncertainty.</w:t>
      </w:r>
    </w:p>
    <w:p>
      <w:pPr>
        <w:pStyle w:val="MdSpace"/>
        <w:spacing w:before="0" w:after="60"/>
      </w:pPr>
    </w:p>
    <w:p>
      <w:pPr>
        <w:pStyle w:val="Heading2"/>
        <w:pStyle w:val="MdHeading2"/>
      </w:pPr>
      <w:r>
        <w:t xml:space="preserve">Recommended differentiation</w:t>
      </w:r>
    </w:p>
    <w:p>
      <w:pPr>
        <w:pStyle w:val="Heading3"/>
        <w:pStyle w:val="MdHeading3"/>
      </w:pPr>
      <w:r>
        <w:t xml:space="preserve">Position around “verified clarity,” not “more peptides”</w:t>
      </w:r>
    </w:p>
    <w:p>
      <w:pPr>
        <w:pStyle w:val="MdParagraph"/>
      </w:pPr>
      <w:r>
        <w:t xml:space="preserve">The strongest strategic gap is a </w:t>
      </w:r>
      <w:r>
        <w:rPr>
          <w:rStyle w:val="MdStrong"/>
          <w:b/>
          <w:bCs/>
        </w:rPr>
        <w:t xml:space="preserve">clear, evidence-led, South African peptide information and consultation brand</w:t>
      </w:r>
      <w:r>
        <w:t xml:space="preserve">. The promise should be:</w:t>
      </w:r>
    </w:p>
    <w:p>
      <w:pPr>
        <w:pStyle w:val="MdSpace"/>
        <w:spacing w:before="0" w:after="60"/>
      </w:pPr>
    </w:p>
    <w:p>
      <w:pPr>
        <w:pStyle w:val="MdBlockquote"/>
      </w:pPr>
      <w:r>
        <w:rPr>
          <w:rStyle w:val="MdStrong"/>
          <w:b/>
          <w:bCs/>
        </w:rPr>
        <w:t xml:space="preserve">Know what you are considering, who is responsible, what is documented, and what happens next.</w:t>
      </w:r>
    </w:p>
    <w:p>
      <w:pPr>
        <w:pStyle w:val="MdSpace"/>
        <w:spacing w:before="0" w:after="60"/>
      </w:pPr>
    </w:p>
    <w:p>
      <w:pPr>
        <w:pStyle w:val="MdParagraph"/>
      </w:pPr>
      <w:r>
        <w:t xml:space="preserve">This avoids competing head-on with mobivIVe on product convenience or with research suppliers on price. It also creates a defensible content and trust position against broad “miracle peptide” messaging.</w:t>
      </w:r>
    </w:p>
    <w:p>
      <w:pPr>
        <w:pStyle w:val="MdSpace"/>
        <w:spacing w:before="0" w:after="60"/>
      </w:pPr>
    </w:p>
    <w:p>
      <w:pPr>
        <w:pStyle w:val="Heading3"/>
        <w:pStyle w:val="MdHeading3"/>
      </w:pPr>
      <w:r>
        <w:t xml:space="preserve">Build a comparison and verification experience</w:t>
      </w:r>
    </w:p>
    <w:p>
      <w:pPr>
        <w:pStyle w:val="MdParagraph"/>
      </w:pPr>
      <w:r>
        <w:t xml:space="preserve">Create a “Peptide Decision Centre” with a transparent comparison framework:</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Question</w:t>
            </w:r>
          </w:p>
        </w:tc>
        <w:tc>
          <w:tcPr>
            <w:tcBorders>
              <w:right w:val="none"/>
            </w:tcBorders>
            <w:tcMar>
              <w:top w:type="dxa" w:w="100"/>
              <w:left w:type="dxa" w:w="120"/>
              <w:bottom w:type="dxa" w:w="100"/>
              <w:right w:type="dxa" w:w="120"/>
            </w:tcMar>
            <w:vAlign w:val="center"/>
          </w:tcPr>
          <w:p>
            <w:pPr>
              <w:pStyle w:val="MdTableHeader"/>
            </w:pPr>
            <w:r>
              <w:t xml:space="preserve">What your site should show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 is it?</w:t>
            </w:r>
          </w:p>
        </w:tc>
        <w:tc>
          <w:tcPr>
            <w:tcBorders>
              <w:right w:val="none"/>
            </w:tcBorders>
            <w:tcMar>
              <w:top w:type="dxa" w:w="80"/>
              <w:left w:type="dxa" w:w="120"/>
              <w:bottom w:type="dxa" w:w="80"/>
              <w:right w:type="dxa" w:w="120"/>
            </w:tcMar>
            <w:vAlign w:val="center"/>
          </w:tcPr>
          <w:p>
            <w:pPr>
              <w:pStyle w:val="MdTableCell"/>
            </w:pPr>
            <w:r>
              <w:t xml:space="preserve">Plain-language molecule and category explanation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 is the intended use?</w:t>
            </w:r>
          </w:p>
        </w:tc>
        <w:tc>
          <w:tcPr>
            <w:tcBorders>
              <w:right w:val="none"/>
            </w:tcBorders>
            <w:tcMar>
              <w:top w:type="dxa" w:w="80"/>
              <w:left w:type="dxa" w:w="120"/>
              <w:bottom w:type="dxa" w:w="80"/>
              <w:right w:type="dxa" w:w="120"/>
            </w:tcMar>
            <w:vAlign w:val="center"/>
          </w:tcPr>
          <w:p>
            <w:pPr>
              <w:pStyle w:val="MdTableCell"/>
            </w:pPr>
            <w:r>
              <w:t xml:space="preserve">Exact offer and permitted use, not a general benefit list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 evidence exists?</w:t>
            </w:r>
          </w:p>
        </w:tc>
        <w:tc>
          <w:tcPr>
            <w:tcBorders>
              <w:right w:val="none"/>
            </w:tcBorders>
            <w:tcMar>
              <w:top w:type="dxa" w:w="80"/>
              <w:left w:type="dxa" w:w="120"/>
              <w:bottom w:type="dxa" w:w="80"/>
              <w:right w:type="dxa" w:w="120"/>
            </w:tcMar>
            <w:vAlign w:val="center"/>
          </w:tcPr>
          <w:p>
            <w:pPr>
              <w:pStyle w:val="MdTableCell"/>
            </w:pPr>
            <w:r>
              <w:t xml:space="preserve">Human evidence, animal/lab evidence, limitations, and dated references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 is the regulatory status?</w:t>
            </w:r>
          </w:p>
        </w:tc>
        <w:tc>
          <w:tcPr>
            <w:tcBorders>
              <w:right w:val="none"/>
            </w:tcBorders>
            <w:tcMar>
              <w:top w:type="dxa" w:w="80"/>
              <w:left w:type="dxa" w:w="120"/>
              <w:bottom w:type="dxa" w:w="80"/>
              <w:right w:type="dxa" w:w="120"/>
            </w:tcMar>
            <w:vAlign w:val="center"/>
          </w:tcPr>
          <w:p>
            <w:pPr>
              <w:pStyle w:val="MdTableCell"/>
            </w:pPr>
            <w:r>
              <w:t xml:space="preserve">Exact product and jurisdiction status, verified before publication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Who reviews suitability?</w:t>
            </w:r>
          </w:p>
        </w:tc>
        <w:tc>
          <w:tcPr>
            <w:tcBorders>
              <w:right w:val="none"/>
            </w:tcBorders>
            <w:tcMar>
              <w:top w:type="dxa" w:w="80"/>
              <w:left w:type="dxa" w:w="120"/>
              <w:bottom w:type="dxa" w:w="80"/>
              <w:right w:type="dxa" w:w="120"/>
            </w:tcMar>
            <w:vAlign w:val="center"/>
          </w:tcPr>
          <w:p>
            <w:pPr>
              <w:pStyle w:val="MdTableCell"/>
            </w:pPr>
            <w:r>
              <w:t xml:space="preserve">Named professional, credentials, registration details where applicable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How is it supplied?</w:t>
            </w:r>
          </w:p>
        </w:tc>
        <w:tc>
          <w:tcPr>
            <w:tcBorders>
              <w:right w:val="none"/>
            </w:tcBorders>
            <w:tcMar>
              <w:top w:type="dxa" w:w="80"/>
              <w:left w:type="dxa" w:w="120"/>
              <w:bottom w:type="dxa" w:w="80"/>
              <w:right w:type="dxa" w:w="120"/>
            </w:tcMar>
            <w:vAlign w:val="center"/>
          </w:tcPr>
          <w:p>
            <w:pPr>
              <w:pStyle w:val="MdTableCell"/>
            </w:pPr>
            <w:r>
              <w:t xml:space="preserve">Pharmacy/supplier, batch/COA process, storage, delivery, and support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Who should not use it?</w:t>
            </w:r>
          </w:p>
        </w:tc>
        <w:tc>
          <w:tcPr>
            <w:tcBorders>
              <w:right w:val="none"/>
            </w:tcBorders>
            <w:tcMar>
              <w:top w:type="dxa" w:w="80"/>
              <w:left w:type="dxa" w:w="120"/>
              <w:bottom w:type="dxa" w:w="80"/>
              <w:right w:type="dxa" w:w="120"/>
            </w:tcMar>
            <w:vAlign w:val="center"/>
          </w:tcPr>
          <w:p>
            <w:pPr>
              <w:pStyle w:val="MdTableCell"/>
            </w:pPr>
            <w:r>
              <w:t xml:space="preserve">Safety limits, contraindications, and consultation requirements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What happens next?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Consultation, eligibility, follow-up, or research enquiry process</w:t>
            </w:r>
          </w:p>
        </w:tc>
      </w:tr>
    </w:tbl>
    <w:p>
      <w:pPr>
        <w:pStyle w:val="MdParagraph"/>
      </w:pPr>
      <w:r>
        <w:t xml:space="preserve">This would make the site more useful than a product catalogue and more credible than generic wellness copy.</w:t>
      </w:r>
    </w:p>
    <w:p>
      <w:pPr>
        <w:pStyle w:val="MdSpace"/>
        <w:spacing w:before="0" w:after="60"/>
      </w:pPr>
    </w:p>
    <w:p>
      <w:pPr>
        <w:pStyle w:val="Heading3"/>
        <w:pStyle w:val="MdHeading3"/>
      </w:pPr>
      <w:r>
        <w:t xml:space="preserve">Own the “what is real versus hype” cluster</w:t>
      </w:r>
    </w:p>
    <w:p>
      <w:pPr>
        <w:pStyle w:val="MdParagraph"/>
      </w:pPr>
      <w:r>
        <w:t xml:space="preserve">Build content around the questions that competitors and Google Trends indicate are important:</w:t>
      </w:r>
    </w:p>
    <w:p>
      <w:pPr>
        <w:pStyle w:val="MdSpace"/>
        <w:spacing w:before="0" w:after="60"/>
      </w:pPr>
    </w:p>
    <w:p>
      <w:pPr>
        <w:pStyle w:val="MdListItem"/>
        <w:numPr>
          <w:ilvl w:val="0"/>
          <w:numId w:val="2"/>
        </w:numPr>
      </w:pPr>
      <w:r>
        <w:rPr>
          <w:rStyle w:val="MdCode"/>
          <w:u w:val="single"/>
        </w:rPr>
        <w:t xml:space="preserve">Peptides South Africa: what to check before choosing a provider</w:t>
      </w:r>
    </w:p>
    <w:p>
      <w:pPr>
        <w:pStyle w:val="MdListItem"/>
        <w:numPr>
          <w:ilvl w:val="0"/>
          <w:numId w:val="2"/>
        </w:numPr>
      </w:pPr>
      <w:r>
        <w:rPr>
          <w:rStyle w:val="MdCode"/>
          <w:u w:val="single"/>
        </w:rPr>
        <w:t xml:space="preserve">Semaglutide in South Africa: consultation, supply and safety questions</w:t>
      </w:r>
    </w:p>
    <w:p>
      <w:pPr>
        <w:pStyle w:val="MdListItem"/>
        <w:numPr>
          <w:ilvl w:val="0"/>
          <w:numId w:val="2"/>
        </w:numPr>
      </w:pPr>
      <w:r>
        <w:rPr>
          <w:rStyle w:val="MdCode"/>
          <w:u w:val="single"/>
        </w:rPr>
        <w:t xml:space="preserve">Research peptides versus clinician-supervised treatment</w:t>
      </w:r>
    </w:p>
    <w:p>
      <w:pPr>
        <w:pStyle w:val="MdListItem"/>
        <w:numPr>
          <w:ilvl w:val="0"/>
          <w:numId w:val="2"/>
        </w:numPr>
      </w:pPr>
      <w:r>
        <w:rPr>
          <w:rStyle w:val="MdCode"/>
          <w:u w:val="single"/>
        </w:rPr>
        <w:t xml:space="preserve">BPC-157: what is known, what is not, and why evidence matters</w:t>
      </w:r>
    </w:p>
    <w:p>
      <w:pPr>
        <w:pStyle w:val="MdListItem"/>
        <w:numPr>
          <w:ilvl w:val="0"/>
          <w:numId w:val="2"/>
        </w:numPr>
      </w:pPr>
      <w:r>
        <w:rPr>
          <w:rStyle w:val="MdCode"/>
          <w:u w:val="single"/>
        </w:rPr>
        <w:t xml:space="preserve">How to read a peptide COA and batch report</w:t>
      </w:r>
    </w:p>
    <w:p>
      <w:pPr>
        <w:pStyle w:val="MdListItem"/>
        <w:numPr>
          <w:ilvl w:val="0"/>
          <w:numId w:val="2"/>
        </w:numPr>
      </w:pPr>
      <w:r>
        <w:rPr>
          <w:rStyle w:val="MdCode"/>
          <w:u w:val="single"/>
        </w:rPr>
        <w:t xml:space="preserve">Peptide storage and cold-chain questions for South African delivery</w:t>
      </w:r>
    </w:p>
    <w:p>
      <w:pPr>
        <w:pStyle w:val="MdListItem"/>
        <w:numPr>
          <w:ilvl w:val="0"/>
          <w:numId w:val="2"/>
        </w:numPr>
      </w:pPr>
      <w:r>
        <w:rPr>
          <w:rStyle w:val="MdCode"/>
          <w:u w:val="single"/>
        </w:rPr>
        <w:t xml:space="preserve">How peptide consultations and follow-up work</w:t>
      </w:r>
    </w:p>
    <w:p>
      <w:pPr>
        <w:pStyle w:val="MdListItem"/>
        <w:numPr>
          <w:ilvl w:val="0"/>
          <w:numId w:val="2"/>
        </w:numPr>
      </w:pPr>
      <w:r>
        <w:rPr>
          <w:rStyle w:val="MdCode"/>
          <w:u w:val="single"/>
        </w:rPr>
        <w:t xml:space="preserve">Peptide terminology explained: GLP-1, research-use-only, compounded, and prescribed</w:t>
      </w:r>
    </w:p>
    <w:p>
      <w:pPr>
        <w:pStyle w:val="MdSpace"/>
        <w:spacing w:before="0" w:after="60"/>
      </w:pPr>
    </w:p>
    <w:p>
      <w:pPr>
        <w:pStyle w:val="MdParagraph"/>
      </w:pPr>
      <w:r>
        <w:t xml:space="preserve">Each article should name an author, medical reviewer where relevant, publication date, update date, sources, and the precise action appropriate to the business model.</w:t>
      </w:r>
    </w:p>
    <w:p>
      <w:pPr>
        <w:pStyle w:val="MdSpace"/>
        <w:spacing w:before="0" w:after="60"/>
      </w:pPr>
    </w:p>
    <w:p>
      <w:pPr>
        <w:pStyle w:val="Heading3"/>
        <w:pStyle w:val="MdHeading3"/>
      </w:pPr>
      <w:r>
        <w:t xml:space="preserve">Make local proof tangible</w:t>
      </w:r>
    </w:p>
    <w:p>
      <w:pPr>
        <w:pStyle w:val="MdParagraph"/>
      </w:pPr>
      <w:r>
        <w:t xml:space="preserve">Competitors often say “nationwide” or “South Africa” without providing a detailed local operating picture. Differentiate with verifiable locality:</w:t>
      </w:r>
    </w:p>
    <w:p>
      <w:pPr>
        <w:pStyle w:val="MdSpace"/>
        <w:spacing w:before="0" w:after="60"/>
      </w:pPr>
    </w:p>
    <w:p>
      <w:pPr>
        <w:pStyle w:val="MdListItem"/>
        <w:numPr>
          <w:ilvl w:val="0"/>
          <w:numId w:val="3"/>
        </w:numPr>
      </w:pPr>
      <w:r>
        <w:t xml:space="preserve">Named service locations or actual delivery coverage.</w:t>
      </w:r>
    </w:p>
    <w:p>
      <w:pPr>
        <w:pStyle w:val="MdListItem"/>
        <w:numPr>
          <w:ilvl w:val="0"/>
          <w:numId w:val="3"/>
        </w:numPr>
      </w:pPr>
      <w:r>
        <w:t xml:space="preserve">Transparent consultation availability and response times.</w:t>
      </w:r>
    </w:p>
    <w:p>
      <w:pPr>
        <w:pStyle w:val="MdListItem"/>
        <w:numPr>
          <w:ilvl w:val="0"/>
          <w:numId w:val="3"/>
        </w:numPr>
      </w:pPr>
      <w:r>
        <w:t xml:space="preserve">Real business address, responsible entity, and professional credentials.</w:t>
      </w:r>
    </w:p>
    <w:p>
      <w:pPr>
        <w:pStyle w:val="MdListItem"/>
        <w:numPr>
          <w:ilvl w:val="0"/>
          <w:numId w:val="3"/>
        </w:numPr>
      </w:pPr>
      <w:r>
        <w:t xml:space="preserve">Clear pharmacy or laboratory relationship where applicable.</w:t>
      </w:r>
    </w:p>
    <w:p>
      <w:pPr>
        <w:pStyle w:val="MdListItem"/>
        <w:numPr>
          <w:ilvl w:val="0"/>
          <w:numId w:val="3"/>
        </w:numPr>
      </w:pPr>
      <w:r>
        <w:t xml:space="preserve">Storage and delivery SOP summary.</w:t>
      </w:r>
    </w:p>
    <w:p>
      <w:pPr>
        <w:pStyle w:val="MdListItem"/>
        <w:numPr>
          <w:ilvl w:val="0"/>
          <w:numId w:val="3"/>
        </w:numPr>
      </w:pPr>
      <w:r>
        <w:t xml:space="preserve">Complaint and adverse-event process.</w:t>
      </w:r>
    </w:p>
    <w:p>
      <w:pPr>
        <w:pStyle w:val="MdListItem"/>
        <w:numPr>
          <w:ilvl w:val="0"/>
          <w:numId w:val="3"/>
        </w:numPr>
      </w:pPr>
      <w:r>
        <w:t xml:space="preserve">Service-level expectation for enquiries and follow-up.</w:t>
      </w:r>
    </w:p>
    <w:p>
      <w:pPr>
        <w:pStyle w:val="MdSpace"/>
        <w:spacing w:before="0" w:after="60"/>
      </w:pPr>
    </w:p>
    <w:p>
      <w:pPr>
        <w:pStyle w:val="MdParagraph"/>
      </w:pPr>
      <w:r>
        <w:t xml:space="preserve">Do not create city pages for places you do not genuinely serve.</w:t>
      </w:r>
    </w:p>
    <w:p>
      <w:pPr>
        <w:pStyle w:val="MdSpace"/>
        <w:spacing w:before="0" w:after="60"/>
      </w:pPr>
    </w:p>
    <w:p>
      <w:pPr>
        <w:pStyle w:val="Heading3"/>
        <w:pStyle w:val="MdHeading3"/>
      </w:pPr>
      <w:r>
        <w:t xml:space="preserve">Separate entry products from high-risk claims</w:t>
      </w:r>
    </w:p>
    <w:p>
      <w:pPr>
        <w:pStyle w:val="MdParagraph"/>
      </w:pPr>
      <w:r>
        <w:t xml:space="preserve">With limited stock and investment, begin with one tightly defined offer. Possible compliant entry positions include: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Position</w:t>
            </w:r>
          </w:p>
        </w:tc>
        <w:tc>
          <w:tcPr>
            <w:tcBorders>
              <w:right w:val="none"/>
            </w:tcBorders>
            <w:tcMar>
              <w:top w:type="dxa" w:w="100"/>
              <w:left w:type="dxa" w:w="120"/>
              <w:bottom w:type="dxa" w:w="100"/>
              <w:right w:type="dxa" w:w="120"/>
            </w:tcMar>
            <w:vAlign w:val="center"/>
          </w:tcPr>
          <w:p>
            <w:pPr>
              <w:pStyle w:val="MdTableHeader"/>
            </w:pPr>
            <w:r>
              <w:t xml:space="preserve">Why it may work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Paid consultation and eligibility assessment</w:t>
            </w:r>
          </w:p>
        </w:tc>
        <w:tc>
          <w:tcPr>
            <w:tcBorders>
              <w:right w:val="none"/>
            </w:tcBorders>
            <w:tcMar>
              <w:top w:type="dxa" w:w="80"/>
              <w:left w:type="dxa" w:w="120"/>
              <w:bottom w:type="dxa" w:w="80"/>
              <w:right w:type="dxa" w:w="120"/>
            </w:tcMar>
            <w:vAlign w:val="center"/>
          </w:tcPr>
          <w:p>
            <w:pPr>
              <w:pStyle w:val="MdTableCell"/>
            </w:pPr>
            <w:r>
              <w:t xml:space="preserve">Competes on process and trust rather than inventory breadth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Peptide safety and provider-evaluation membership/content</w:t>
            </w:r>
          </w:p>
        </w:tc>
        <w:tc>
          <w:tcPr>
            <w:tcBorders>
              <w:right w:val="none"/>
            </w:tcBorders>
            <w:tcMar>
              <w:top w:type="dxa" w:w="80"/>
              <w:left w:type="dxa" w:w="120"/>
              <w:bottom w:type="dxa" w:w="80"/>
              <w:right w:type="dxa" w:w="120"/>
            </w:tcMar>
            <w:vAlign w:val="center"/>
          </w:tcPr>
          <w:p>
            <w:pPr>
              <w:pStyle w:val="MdTableCell"/>
            </w:pPr>
            <w:r>
              <w:t xml:space="preserve">Builds demand while product eligibility and stock remain limited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Research documentation and quality service</w:t>
            </w:r>
          </w:p>
        </w:tc>
        <w:tc>
          <w:tcPr>
            <w:tcBorders>
              <w:right w:val="none"/>
            </w:tcBorders>
            <w:tcMar>
              <w:top w:type="dxa" w:w="80"/>
              <w:left w:type="dxa" w:w="120"/>
              <w:bottom w:type="dxa" w:w="80"/>
              <w:right w:type="dxa" w:w="120"/>
            </w:tcMar>
            <w:vAlign w:val="center"/>
          </w:tcPr>
          <w:p>
            <w:pPr>
              <w:pStyle w:val="MdTableCell"/>
            </w:pPr>
            <w:r>
              <w:t xml:space="preserve">Competes on transparency and documentation, not unsupported biological outcomes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Cosmetic peptide skincare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Lower-complexity adjacent category if the actual products and claims are genuinely cosmetic</w:t>
            </w:r>
          </w:p>
        </w:tc>
      </w:tr>
    </w:tbl>
    <w:p>
      <w:pPr>
        <w:pStyle w:val="MdParagraph"/>
      </w:pPr>
      <w:r>
        <w:t xml:space="preserve">The best choice depends on the actual supply model. Do not advertise a consultation if there is no qualified professional able to conduct it, and do not sell a research product using human-treatment language.</w:t>
      </w:r>
    </w:p>
    <w:p>
      <w:pPr>
        <w:pStyle w:val="MdSpace"/>
        <w:spacing w:before="0" w:after="60"/>
      </w:pPr>
    </w:p>
    <w:p>
      <w:pPr>
        <w:pStyle w:val="Heading2"/>
        <w:pStyle w:val="MdHeading2"/>
      </w:pPr>
      <w:r>
        <w:t xml:space="preserve">Competitor-specific opportunities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Competitor strength</w:t>
            </w:r>
          </w:p>
        </w:tc>
        <w:tc>
          <w:tcPr>
            <w:tcBorders>
              <w:right w:val="none"/>
            </w:tcBorders>
            <w:tcMar>
              <w:top w:type="dxa" w:w="100"/>
              <w:left w:type="dxa" w:w="120"/>
              <w:bottom w:type="dxa" w:w="100"/>
              <w:right w:type="dxa" w:w="120"/>
            </w:tcMar>
            <w:vAlign w:val="center"/>
          </w:tcPr>
          <w:p>
            <w:pPr>
              <w:pStyle w:val="MdTableHeader"/>
            </w:pPr>
            <w:r>
              <w:t xml:space="preserve">How to differentiate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AlphaHuman: broad peptide menu and polished online-to-delivery path</w:t>
            </w:r>
          </w:p>
        </w:tc>
        <w:tc>
          <w:tcPr>
            <w:tcBorders>
              <w:right w:val="none"/>
            </w:tcBorders>
            <w:tcMar>
              <w:top w:type="dxa" w:w="80"/>
              <w:left w:type="dxa" w:w="120"/>
              <w:bottom w:type="dxa" w:w="80"/>
              <w:right w:type="dxa" w:w="120"/>
            </w:tcMar>
            <w:vAlign w:val="center"/>
          </w:tcPr>
          <w:p>
            <w:pPr>
              <w:pStyle w:val="MdTableCell"/>
            </w:pPr>
            <w:r>
              <w:t xml:space="preserve">Publish fewer, better-supported pages; make claim evidence, regulatory status and reviewer identity explicit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PremierBODY: broad wellness and regenerative protocols</w:t>
            </w:r>
          </w:p>
        </w:tc>
        <w:tc>
          <w:tcPr>
            <w:tcBorders>
              <w:right w:val="none"/>
            </w:tcBorders>
            <w:tcMar>
              <w:top w:type="dxa" w:w="80"/>
              <w:left w:type="dxa" w:w="120"/>
              <w:bottom w:type="dxa" w:w="80"/>
              <w:right w:type="dxa" w:w="120"/>
            </w:tcMar>
            <w:vAlign w:val="center"/>
          </w:tcPr>
          <w:p>
            <w:pPr>
              <w:pStyle w:val="MdTableCell"/>
            </w:pPr>
            <w:r>
              <w:t xml:space="preserve">Replace broad “benefit” lists with structured indication/uncertainty/safety tables and clearer product 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Dr Thys Heyns: named-doctor, bloodwork and clinic locations</w:t>
            </w:r>
          </w:p>
        </w:tc>
        <w:tc>
          <w:tcPr>
            <w:tcBorders>
              <w:right w:val="none"/>
            </w:tcBorders>
            <w:tcMar>
              <w:top w:type="dxa" w:w="80"/>
              <w:left w:type="dxa" w:w="120"/>
              <w:bottom w:type="dxa" w:w="80"/>
              <w:right w:type="dxa" w:w="120"/>
            </w:tcMar>
            <w:vAlign w:val="center"/>
          </w:tcPr>
          <w:p>
            <w:pPr>
              <w:pStyle w:val="MdTableCell"/>
            </w:pPr>
            <w:r>
              <w:t xml:space="preserve">Offer equally visible credentials plus a better digital booking flow, response-time promise, and transparent fees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mobivIVe: prefilled pens, prices and pharmacy/clinic supply</w:t>
            </w:r>
          </w:p>
        </w:tc>
        <w:tc>
          <w:tcPr>
            <w:tcBorders>
              <w:right w:val="none"/>
            </w:tcBorders>
            <w:tcMar>
              <w:top w:type="dxa" w:w="80"/>
              <w:left w:type="dxa" w:w="120"/>
              <w:bottom w:type="dxa" w:w="80"/>
              <w:right w:type="dxa" w:w="120"/>
            </w:tcMar>
            <w:vAlign w:val="center"/>
          </w:tcPr>
          <w:p>
            <w:pPr>
              <w:pStyle w:val="MdTableCell"/>
            </w:pPr>
            <w:r>
              <w:t xml:space="preserve">Compete on independent clarity, patient education, monitoring, and aftercare rather than price or device convenience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Peptide Clinics: established education and online prequalification</w:t>
            </w:r>
          </w:p>
        </w:tc>
        <w:tc>
          <w:tcPr>
            <w:tcBorders>
              <w:right w:val="none"/>
            </w:tcBorders>
            <w:tcMar>
              <w:top w:type="dxa" w:w="80"/>
              <w:left w:type="dxa" w:w="120"/>
              <w:bottom w:type="dxa" w:w="80"/>
              <w:right w:type="dxa" w:w="120"/>
            </w:tcMar>
            <w:vAlign w:val="center"/>
          </w:tcPr>
          <w:p>
            <w:pPr>
              <w:pStyle w:val="MdTableCell"/>
            </w:pPr>
            <w:r>
              <w:t xml:space="preserve">Create more current evidence pages, clearer source dates, and a modern comparison tool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RealFit: nutrition and maintenance support</w:t>
            </w:r>
          </w:p>
        </w:tc>
        <w:tc>
          <w:tcPr>
            <w:tcBorders>
              <w:right w:val="none"/>
            </w:tcBorders>
            <w:tcMar>
              <w:top w:type="dxa" w:w="80"/>
              <w:left w:type="dxa" w:w="120"/>
              <w:bottom w:type="dxa" w:w="80"/>
              <w:right w:type="dxa" w:w="120"/>
            </w:tcMar>
            <w:vAlign w:val="center"/>
          </w:tcPr>
          <w:p>
            <w:pPr>
              <w:pStyle w:val="MdTableCell"/>
            </w:pPr>
            <w:r>
              <w:t xml:space="preserve">Add a complete measurement dashboard or structured follow-up framework rather than generic lifestyle advice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Pure Performance Labs: research categories and legal disclaimer</w:t>
            </w:r>
          </w:p>
        </w:tc>
        <w:tc>
          <w:tcPr>
            <w:tcBorders>
              <w:right w:val="none"/>
            </w:tcBorders>
            <w:tcMar>
              <w:top w:type="dxa" w:w="80"/>
              <w:left w:type="dxa" w:w="120"/>
              <w:bottom w:type="dxa" w:w="80"/>
              <w:right w:type="dxa" w:w="120"/>
            </w:tcMar>
            <w:vAlign w:val="center"/>
          </w:tcPr>
          <w:p>
            <w:pPr>
              <w:pStyle w:val="MdTableCell"/>
            </w:pPr>
            <w:r>
              <w:t xml:space="preserve">Add batch-level document access, searchable COAs, technical datasheets, and institutional buyer support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Protopep: product finder, COA, cold-chain and resources</w:t>
            </w:r>
          </w:p>
        </w:tc>
        <w:tc>
          <w:tcPr>
            <w:tcBorders>
              <w:right w:val="none"/>
            </w:tcBorders>
            <w:tcMar>
              <w:top w:type="dxa" w:w="80"/>
              <w:left w:type="dxa" w:w="120"/>
              <w:bottom w:type="dxa" w:w="80"/>
              <w:right w:type="dxa" w:w="120"/>
            </w:tcMar>
            <w:vAlign w:val="center"/>
          </w:tcPr>
          <w:p>
            <w:pPr>
              <w:pStyle w:val="MdTableCell"/>
            </w:pPr>
            <w:r>
              <w:t xml:space="preserve">Differentiate through verified batch transparency, named responsible entity, and clearer evidence boundaries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ReGen-X: local WhatsApp, bulk and category navigation</w:t>
            </w:r>
          </w:p>
        </w:tc>
        <w:tc>
          <w:tcPr>
            <w:tcBorders>
              <w:right w:val="none"/>
            </w:tcBorders>
            <w:tcMar>
              <w:top w:type="dxa" w:w="80"/>
              <w:left w:type="dxa" w:w="120"/>
              <w:bottom w:type="dxa" w:w="80"/>
              <w:right w:type="dxa" w:w="120"/>
            </w:tcMar>
            <w:vAlign w:val="center"/>
          </w:tcPr>
          <w:p>
            <w:pPr>
              <w:pStyle w:val="MdTableCell"/>
            </w:pPr>
            <w:r>
              <w:t xml:space="preserve">Provide stronger documentation, service-level standards, and institutional/research customer support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Research Peptides South Africa: operational trust and delivery detail</w:t>
            </w:r>
          </w:p>
        </w:tc>
        <w:tc>
          <w:tcPr>
            <w:tcBorders>
              <w:right w:val="none"/>
            </w:tcBorders>
            <w:tcMar>
              <w:top w:type="dxa" w:w="80"/>
              <w:left w:type="dxa" w:w="120"/>
              <w:bottom w:type="dxa" w:w="80"/>
              <w:right w:type="dxa" w:w="120"/>
            </w:tcMar>
            <w:vAlign w:val="center"/>
          </w:tcPr>
          <w:p>
            <w:pPr>
              <w:pStyle w:val="MdTableCell"/>
            </w:pPr>
            <w:r>
              <w:t xml:space="preserve">Modernise the trust experience with current documentation, explicit batch records, and clearer product-status language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Aesthetic Appointment: cautious medical editorial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Build the leading South African peptide evidence library with living references and claim-review governance</w:t>
            </w:r>
          </w:p>
        </w:tc>
      </w:tr>
    </w:tbl>
    <w:p>
      <w:pPr>
        <w:pStyle w:val="Heading2"/>
        <w:pStyle w:val="MdHeading2"/>
      </w:pPr>
      <w:r>
        <w:t xml:space="preserve">Recommended positioning statement</w:t>
      </w:r>
    </w:p>
    <w:p>
      <w:pPr>
        <w:pStyle w:val="MdParagraph"/>
      </w:pPr>
      <w:r>
        <w:t xml:space="preserve">A suitable working position is:</w:t>
      </w:r>
    </w:p>
    <w:p>
      <w:pPr>
        <w:pStyle w:val="MdSpace"/>
        <w:spacing w:before="0" w:after="60"/>
      </w:pPr>
    </w:p>
    <w:p>
      <w:pPr>
        <w:pStyle w:val="MdBlockquote"/>
      </w:pPr>
      <w:r>
        <w:rPr>
          <w:rStyle w:val="MdStrong"/>
          <w:b/>
          <w:bCs/>
        </w:rPr>
        <w:t xml:space="preserve">South Africa’s clear, evidence-led peptide information and consultation platform—helping people understand product status, evidence, safety, sourcing, and next steps before they commit.</w:t>
      </w:r>
    </w:p>
    <w:p>
      <w:pPr>
        <w:pStyle w:val="MdSpace"/>
        <w:spacing w:before="0" w:after="60"/>
      </w:pPr>
    </w:p>
    <w:p>
      <w:pPr>
        <w:pStyle w:val="MdParagraph"/>
      </w:pPr>
      <w:r>
        <w:t xml:space="preserve">This is intentionally less aggressive than competitor promises. It should be supported by genuine credentials, transparent documentation, and a consultation or research-enquiry model that matches the actual business.</w:t>
      </w:r>
    </w:p>
    <w:p>
      <w:pPr>
        <w:pStyle w:val="MdSpace"/>
        <w:spacing w:before="0" w:after="60"/>
      </w:pPr>
    </w:p>
    <w:p>
      <w:pPr>
        <w:pStyle w:val="Heading2"/>
        <w:pStyle w:val="MdHeading2"/>
      </w:pPr>
      <w:r>
        <w:t xml:space="preserve">Recommended first-site architecture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/peptides-south-africa/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/peptide-decision-centre/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/regulated-vs-research-peptides/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/how-to-read-a-coa/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/product-status-and-sourcing/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/provider-verification-checklist/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/evidence-library/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/semaglutide/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/tirzepatide/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/bpc-157/</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/ghk-cu/</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/how-it-works/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/safety-and-eligibility/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/clinical-team-or-research-team/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/quality-and-documentation/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/consultation-or-research-enquiry/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/contact/</w:t>
      </w:r>
    </w:p>
    <w:p>
      <w:pPr>
        <w:pStyle w:val="MdSpace"/>
        <w:spacing w:before="0" w:after="60"/>
      </w:pPr>
    </w:p>
    <w:p>
      <w:pPr>
        <w:pStyle w:val="MdParagraph"/>
      </w:pPr>
      <w:r>
        <w:t xml:space="preserve">Launch with one cluster and one conversion action. Do not publish a large catalogue until the stock model, claim register, documentation, and compliance review are ready.</w:t>
      </w:r>
    </w:p>
    <w:p>
      <w:pPr>
        <w:pStyle w:val="MdSpace"/>
        <w:spacing w:before="0" w:after="60"/>
      </w:pPr>
    </w:p>
    <w:p>
      <w:pPr>
        <w:pStyle w:val="Heading2"/>
        <w:pStyle w:val="MdHeading2"/>
      </w:pPr>
      <w:r>
        <w:t xml:space="preserve">Final recommendation</w:t>
      </w:r>
    </w:p>
    <w:p>
      <w:pPr>
        <w:pStyle w:val="MdParagraph"/>
      </w:pPr>
      <w:r>
        <w:t xml:space="preserve">The market is not empty. It already contains polished clinics, doctor-led services, GLP-1 weight-management pages, research ecommerce stores, and long-running educational content. The most defensible route is </w:t>
      </w:r>
      <w:r>
        <w:rPr>
          <w:rStyle w:val="MdStrong"/>
          <w:b/>
          <w:bCs/>
        </w:rPr>
        <w:t xml:space="preserve">not</w:t>
      </w:r>
      <w:r>
        <w:t xml:space="preserve"> to imitate their broadest claims or largest product menu. It is to become the most transparent and useful South African resource for distinguishing regulated medical treatment, clinician-led consultation, cosmetic products, and research-use supply.</w:t>
      </w:r>
    </w:p>
    <w:p>
      <w:pPr>
        <w:pStyle w:val="MdSpace"/>
        <w:spacing w:before="0" w:after="60"/>
      </w:pPr>
    </w:p>
    <w:p>
      <w:pPr>
        <w:pStyle w:val="MdParagraph"/>
      </w:pPr>
      <w:r>
        <w:t xml:space="preserve">In practical terms, differentiate through </w:t>
      </w:r>
      <w:r>
        <w:rPr>
          <w:rStyle w:val="MdStrong"/>
          <w:b/>
          <w:bCs/>
        </w:rPr>
        <w:t xml:space="preserve">fewer claims, stronger evidence, visible responsibility, better comparison tools, batch/documentation transparency, and a clearly separated operating model</w:t>
      </w:r>
      <w:r>
        <w:t xml:space="preserve">. That gives the business an SEO moat, improves paid-traffic trust, and reduces dependence on competing only on price or product availability.</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ffsak77cp2ehfpnym6yk" Type="http://schemas.openxmlformats.org/officeDocument/2006/relationships/hyperlink" Target="https://alphahuman.co.za/pages/peptides" TargetMode="External"/><Relationship Id="rIdpcjfro3p05v67dfw01k3y" Type="http://schemas.openxmlformats.org/officeDocument/2006/relationships/hyperlink" Target="https://premierbody.co.za/peptides-therapy/" TargetMode="External"/><Relationship Id="rIdcaz0xbc0mdcjxzd559bf5" Type="http://schemas.openxmlformats.org/officeDocument/2006/relationships/hyperlink" Target="https://drthysheyns.co.za/peptides/" TargetMode="External"/><Relationship Id="rIdxnjgckapnh5dm842jpte8" Type="http://schemas.openxmlformats.org/officeDocument/2006/relationships/hyperlink" Target="https://mobivive.co.za/peptides/" TargetMode="External"/><Relationship Id="rIdd-1zlz4zswq7z2oeylc57" Type="http://schemas.openxmlformats.org/officeDocument/2006/relationships/hyperlink" Target="https://peptideclinics.co.za/peptide-science/peptides-peptide-use/" TargetMode="External"/><Relationship Id="rIdmt_lrjjewcabffhtubzid" Type="http://schemas.openxmlformats.org/officeDocument/2006/relationships/hyperlink" Target="https://realfit.co.za/glp-1-peptides" TargetMode="External"/><Relationship Id="rIdfh6qs4h8sxfkc2irkvgft" Type="http://schemas.openxmlformats.org/officeDocument/2006/relationships/hyperlink" Target="https://www.purelabs.co.za/shop-by-category/" TargetMode="External"/><Relationship Id="rIdvnbvm6p7wgti5lpvh6ulw" Type="http://schemas.openxmlformats.org/officeDocument/2006/relationships/hyperlink" Target="https://www.protopep.co.za/" TargetMode="External"/><Relationship Id="rIdpuf_7f8s72kmrikehkvna" Type="http://schemas.openxmlformats.org/officeDocument/2006/relationships/hyperlink" Target="https://www.regenx.co.za/" TargetMode="External"/><Relationship Id="rIdrho2jowsjsfh8xr-zkyi_" Type="http://schemas.openxmlformats.org/officeDocument/2006/relationships/hyperlink" Target="https://peptides.co.za/faqs" TargetMode="External"/><Relationship Id="rIdpbi_6f18scfbqhjwoghb7" Type="http://schemas.openxmlformats.org/officeDocument/2006/relationships/hyperlink" Target="https://peptideclinics.co.za/peptide-science/peptides-peptide-use/" TargetMode="External"/><Relationship Id="rIduebapw_c1bwbgneaa4lhv" Type="http://schemas.openxmlformats.org/officeDocument/2006/relationships/hyperlink" Target="https://www.aestheticappointment.co.za/2026/03/peptides-explained-patients-guide-south-africa.html" TargetMode="External"/><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2026-08-20T14:40:38.248Z</dcterms:created>
  <dcterms:modified xsi:type="dcterms:W3CDTF">2026-08-20T14:40:38.248Z</dcterms:modified>
</cp:coreProperties>
</file>

<file path=docProps/custom.xml><?xml version="1.0" encoding="utf-8"?>
<Properties xmlns="http://schemas.openxmlformats.org/officeDocument/2006/custom-properties" xmlns:vt="http://schemas.openxmlformats.org/officeDocument/2006/docPropsVTypes"/>
</file>