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B2A3D"/>
          </w:tcPr>
          <w:p>
            <w:pPr>
              <w:spacing w:before="160" w:after="40"/>
              <w:jc w:val="center"/>
            </w:pPr>
            <w:r>
              <w:rPr>
                <w:rFonts w:ascii="Georgia" w:hAnsi="Georgia"/>
                <w:b/>
                <w:color w:val="FFFFFF"/>
                <w:sz w:val="40"/>
              </w:rPr>
              <w:t>ACQUISITION FINANCING OPPORTUNITY</w:t>
            </w:r>
          </w:p>
          <w:p>
            <w:pPr>
              <w:spacing w:before="40" w:after="160"/>
              <w:jc w:val="center"/>
            </w:pPr>
            <w:r>
              <w:rPr>
                <w:rFonts w:ascii="Calibri" w:hAnsi="Calibri"/>
                <w:color w:val="C9A84C"/>
                <w:sz w:val="22"/>
              </w:rPr>
              <w:t>DFW Fire Protection Company — SBA 7(a) + 504 Request</w:t>
            </w:r>
          </w:p>
        </w:tc>
      </w:tr>
    </w:tbl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F5F0E8"/>
          </w:tcPr>
          <w:p>
            <w:r>
              <w:rPr>
                <w:rFonts w:ascii="Calibri" w:hAnsi="Calibri"/>
                <w:color w:val="333333"/>
                <w:sz w:val="20"/>
              </w:rPr>
              <w:t>Prepared by:  Joel Bouck — Viking 90 Group</w:t>
              <w:br/>
              <w:t>jb@onebuckcapital.com</w:t>
            </w:r>
          </w:p>
        </w:tc>
        <w:tc>
          <w:tcPr>
            <w:tcW w:type="dxa" w:w="4680"/>
            <w:shd w:val="clear" w:color="auto" w:fill="F5F0E8"/>
          </w:tcPr>
          <w:p>
            <w:pPr>
              <w:jc w:val="right"/>
            </w:pPr>
            <w:r>
              <w:rPr>
                <w:rFonts w:ascii="Calibri" w:hAnsi="Calibri"/>
                <w:i/>
                <w:color w:val="666666"/>
                <w:sz w:val="20"/>
              </w:rPr>
              <w:t>Date:  March 2026</w:t>
              <w:br/>
              <w:t>CONFIDENTIAL — For Lending Discussion Only</w:t>
            </w:r>
          </w:p>
        </w:tc>
      </w:tr>
    </w:tbl>
    <w:p>
      <w:pPr>
        <w:pBdr>
          <w:bottom w:val="single" w:sz="6" w:space="1" w:color="1B2A3D"/>
        </w:pBdr>
        <w:spacing w:before="40" w:after="120"/>
      </w:pPr>
    </w:p>
    <w:p>
      <w:r>
        <w:rPr>
          <w:rFonts w:ascii="Georgia" w:hAnsi="Georgia"/>
          <w:b/>
          <w:color w:val="1B2A3D"/>
          <w:sz w:val="32"/>
        </w:rPr>
        <w:t>THE COMPANY</w:t>
      </w:r>
    </w:p>
    <w:p>
      <w:r>
        <w:rPr>
          <w:rFonts w:ascii="Calibri" w:hAnsi="Calibri"/>
          <w:b w:val="0"/>
          <w:i w:val="0"/>
          <w:sz w:val="20"/>
        </w:rPr>
        <w:t>A 40-year-old fire suppression, alarm, and inspection company based in Dallas-Fort Worth, Texas. One of the established independent fire protection contractors in the DFW market — serving nationally recognized commercial general contractors and property owners. Industry is code-mandated: inspections and maintenance are legally required annually. Recession-resistant, non-discretionary demand.</w:t>
      </w:r>
    </w:p>
    <w:p>
      <w:pPr>
        <w:pBdr>
          <w:bottom w:val="single" w:sz="6" w:space="1" w:color="1B2A3D"/>
        </w:pBdr>
        <w:spacing w:before="40" w:after="120"/>
      </w:pPr>
    </w:p>
    <w:p>
      <w:r>
        <w:rPr>
          <w:rFonts w:ascii="Georgia" w:hAnsi="Georgia"/>
          <w:b/>
          <w:color w:val="1B2A3D"/>
          <w:sz w:val="32"/>
        </w:rPr>
        <w:t>FINANCIAL SNAPSHOT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1B2A3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2592"/>
            <w:shd w:val="clear" w:color="auto" w:fill="1B2A3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2024</w:t>
            </w:r>
          </w:p>
        </w:tc>
        <w:tc>
          <w:tcPr>
            <w:tcW w:type="dxa" w:w="3168"/>
            <w:shd w:val="clear" w:color="auto" w:fill="1B2A3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2025</w:t>
            </w:r>
          </w:p>
        </w:tc>
      </w:tr>
      <w:tr>
        <w:tc>
          <w:tcPr>
            <w:tcW w:type="dxa" w:w="3600"/>
            <w:shd w:val="clear" w:color="auto" w:fill="F5F0E8"/>
          </w:tcPr>
          <w:p>
            <w:r>
              <w:rPr>
                <w:rFonts w:ascii="Calibri" w:hAnsi="Calibri"/>
                <w:b w:val="0"/>
                <w:sz w:val="20"/>
              </w:rPr>
              <w:t>Revenue</w:t>
            </w:r>
          </w:p>
        </w:tc>
        <w:tc>
          <w:tcPr>
            <w:tcW w:type="dxa" w:w="2592"/>
            <w:shd w:val="clear" w:color="auto" w:fill="F5F0E8"/>
          </w:tcPr>
          <w:p>
            <w:r>
              <w:rPr>
                <w:rFonts w:ascii="Calibri" w:hAnsi="Calibri"/>
                <w:b w:val="0"/>
                <w:sz w:val="20"/>
              </w:rPr>
              <w:t>$14.2M</w:t>
            </w:r>
          </w:p>
        </w:tc>
        <w:tc>
          <w:tcPr>
            <w:tcW w:type="dxa" w:w="3168"/>
            <w:shd w:val="clear" w:color="auto" w:fill="F5F0E8"/>
          </w:tcPr>
          <w:p>
            <w:r>
              <w:rPr>
                <w:rFonts w:ascii="Calibri" w:hAnsi="Calibri"/>
                <w:b w:val="0"/>
                <w:sz w:val="20"/>
              </w:rPr>
              <w:t>$19.1M  (+34%)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Adjusted EBITDA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b w:val="0"/>
                <w:sz w:val="20"/>
              </w:rPr>
              <w:t>~$1.8M</w:t>
            </w:r>
          </w:p>
        </w:tc>
        <w:tc>
          <w:tcPr>
            <w:tcW w:type="dxa" w:w="3168"/>
          </w:tcPr>
          <w:p>
            <w:r>
              <w:rPr>
                <w:rFonts w:ascii="Calibri" w:hAnsi="Calibri"/>
                <w:b w:val="0"/>
                <w:sz w:val="20"/>
              </w:rPr>
              <w:t>$2.94M</w:t>
            </w:r>
          </w:p>
        </w:tc>
      </w:tr>
      <w:tr>
        <w:tc>
          <w:tcPr>
            <w:tcW w:type="dxa" w:w="3600"/>
            <w:shd w:val="clear" w:color="auto" w:fill="F5F0E8"/>
          </w:tcPr>
          <w:p>
            <w:r>
              <w:rPr>
                <w:rFonts w:ascii="Calibri" w:hAnsi="Calibri"/>
                <w:b w:val="0"/>
                <w:sz w:val="20"/>
              </w:rPr>
              <w:t>EBITDA Margin</w:t>
            </w:r>
          </w:p>
        </w:tc>
        <w:tc>
          <w:tcPr>
            <w:tcW w:type="dxa" w:w="2592"/>
            <w:shd w:val="clear" w:color="auto" w:fill="F5F0E8"/>
          </w:tcPr>
          <w:p>
            <w:r>
              <w:rPr>
                <w:rFonts w:ascii="Calibri" w:hAnsi="Calibri"/>
                <w:b w:val="0"/>
                <w:sz w:val="20"/>
              </w:rPr>
              <w:t>—</w:t>
            </w:r>
          </w:p>
        </w:tc>
        <w:tc>
          <w:tcPr>
            <w:tcW w:type="dxa" w:w="3168"/>
            <w:shd w:val="clear" w:color="auto" w:fill="F5F0E8"/>
          </w:tcPr>
          <w:p>
            <w:r>
              <w:rPr>
                <w:rFonts w:ascii="Calibri" w:hAnsi="Calibri"/>
                <w:b w:val="0"/>
                <w:sz w:val="20"/>
              </w:rPr>
              <w:t>15.4%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Existing Debt / LOC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b/>
                <w:sz w:val="20"/>
              </w:rPr>
              <w:t>—</w:t>
            </w:r>
          </w:p>
        </w:tc>
        <w:tc>
          <w:tcPr>
            <w:tcW w:type="dxa" w:w="3168"/>
            <w:shd w:val="clear" w:color="auto" w:fill="C9A84C"/>
          </w:tcPr>
          <w:p>
            <w:r>
              <w:rPr>
                <w:rFonts w:ascii="Calibri" w:hAnsi="Calibri"/>
                <w:b/>
                <w:sz w:val="20"/>
              </w:rPr>
              <w:t>$0  ✓</w:t>
            </w:r>
          </w:p>
        </w:tc>
      </w:tr>
      <w:tr>
        <w:tc>
          <w:tcPr>
            <w:tcW w:type="dxa" w:w="3600"/>
            <w:shd w:val="clear" w:color="auto" w:fill="F5F0E8"/>
          </w:tcPr>
          <w:p>
            <w:r>
              <w:rPr>
                <w:rFonts w:ascii="Calibri" w:hAnsi="Calibri"/>
                <w:b w:val="0"/>
                <w:sz w:val="20"/>
              </w:rPr>
              <w:t>Cash on Balance Sheet</w:t>
            </w:r>
          </w:p>
        </w:tc>
        <w:tc>
          <w:tcPr>
            <w:tcW w:type="dxa" w:w="2592"/>
            <w:shd w:val="clear" w:color="auto" w:fill="F5F0E8"/>
          </w:tcPr>
          <w:p>
            <w:r>
              <w:rPr>
                <w:rFonts w:ascii="Calibri" w:hAnsi="Calibri"/>
                <w:b w:val="0"/>
                <w:sz w:val="20"/>
              </w:rPr>
              <w:t>—</w:t>
            </w:r>
          </w:p>
        </w:tc>
        <w:tc>
          <w:tcPr>
            <w:tcW w:type="dxa" w:w="3168"/>
            <w:shd w:val="clear" w:color="auto" w:fill="F5F0E8"/>
          </w:tcPr>
          <w:p>
            <w:r>
              <w:rPr>
                <w:rFonts w:ascii="Calibri" w:hAnsi="Calibri"/>
                <w:b w:val="0"/>
                <w:sz w:val="20"/>
              </w:rPr>
              <w:t>$1.8M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sz w:val="20"/>
              </w:rPr>
              <w:t>Accounts Receivable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b w:val="0"/>
                <w:sz w:val="20"/>
              </w:rPr>
              <w:t>—</w:t>
            </w:r>
          </w:p>
        </w:tc>
        <w:tc>
          <w:tcPr>
            <w:tcW w:type="dxa" w:w="3168"/>
          </w:tcPr>
          <w:p>
            <w:r>
              <w:rPr>
                <w:rFonts w:ascii="Calibri" w:hAnsi="Calibri"/>
                <w:b w:val="0"/>
                <w:sz w:val="20"/>
              </w:rPr>
              <w:t>$3.99M</w:t>
            </w:r>
          </w:p>
        </w:tc>
      </w:tr>
      <w:tr>
        <w:tc>
          <w:tcPr>
            <w:tcW w:type="dxa" w:w="3600"/>
            <w:shd w:val="clear" w:color="auto" w:fill="F5F0E8"/>
          </w:tcPr>
          <w:p>
            <w:r>
              <w:rPr>
                <w:rFonts w:ascii="Calibri" w:hAnsi="Calibri"/>
                <w:b w:val="0"/>
                <w:sz w:val="20"/>
              </w:rPr>
              <w:t>Contracted Backlog</w:t>
            </w:r>
          </w:p>
        </w:tc>
        <w:tc>
          <w:tcPr>
            <w:tcW w:type="dxa" w:w="2592"/>
            <w:shd w:val="clear" w:color="auto" w:fill="F5F0E8"/>
          </w:tcPr>
          <w:p>
            <w:r>
              <w:rPr>
                <w:rFonts w:ascii="Calibri" w:hAnsi="Calibri"/>
                <w:b w:val="0"/>
                <w:sz w:val="20"/>
              </w:rPr>
              <w:t>—</w:t>
            </w:r>
          </w:p>
        </w:tc>
        <w:tc>
          <w:tcPr>
            <w:tcW w:type="dxa" w:w="3168"/>
            <w:shd w:val="clear" w:color="auto" w:fill="F5F0E8"/>
          </w:tcPr>
          <w:p>
            <w:r>
              <w:rPr>
                <w:rFonts w:ascii="Calibri" w:hAnsi="Calibri"/>
                <w:b w:val="0"/>
                <w:sz w:val="20"/>
              </w:rPr>
              <w:t>$12M+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C9A84C"/>
          </w:tcPr>
          <w:p>
            <w:pPr>
              <w:spacing w:before="120" w:after="120"/>
              <w:ind w:left="144"/>
            </w:pPr>
            <w:r>
              <w:rPr>
                <w:rFonts w:ascii="Calibri" w:hAnsi="Calibri"/>
                <w:b/>
                <w:color w:val="1B2A3D"/>
                <w:sz w:val="20"/>
              </w:rPr>
              <w:t>★  Key Point: The company entered 2026 with zero debt after paying off a $2.4M line of credit over the prior two years — while growing revenue 34%.</w:t>
            </w:r>
          </w:p>
        </w:tc>
      </w:tr>
    </w:tbl>
    <w:p>
      <w:pPr>
        <w:pBdr>
          <w:bottom w:val="single" w:sz="6" w:space="1" w:color="1B2A3D"/>
        </w:pBdr>
        <w:spacing w:before="40" w:after="120"/>
      </w:pPr>
    </w:p>
    <w:p>
      <w:r>
        <w:rPr>
          <w:rFonts w:ascii="Georgia" w:hAnsi="Georgia"/>
          <w:b/>
          <w:color w:val="1B2A3D"/>
          <w:sz w:val="32"/>
        </w:rPr>
        <w:t>THE DEAL  &amp;  FINANCING REQUEST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08"/>
          </w:tcPr>
          <w:p>
            <w:r>
              <w:rPr>
                <w:rFonts w:ascii="Georgia" w:hAnsi="Georgia"/>
                <w:b/>
                <w:color w:val="1B2A3D"/>
                <w:sz w:val="22"/>
              </w:rPr>
              <w:t>Transaction Structure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2340"/>
              <w:gridCol w:w="2340"/>
            </w:tblGrid>
            <w:tr>
              <w:tc>
                <w:tcPr>
                  <w:tcW w:type="dxa" w:w="2340"/>
                  <w:shd w:val="clear" w:color="auto" w:fill="F5F0E8"/>
                </w:tcPr>
                <w:p>
                  <w:r>
                    <w:rPr>
                      <w:rFonts w:ascii="Calibri" w:hAnsi="Calibri"/>
                      <w:sz w:val="18"/>
                    </w:rPr>
                    <w:t>Total Enterprise Value</w:t>
                  </w:r>
                </w:p>
              </w:tc>
              <w:tc>
                <w:tcPr>
                  <w:tcW w:type="dxa" w:w="2340"/>
                  <w:shd w:val="clear" w:color="auto" w:fill="F5F0E8"/>
                </w:tcPr>
                <w:p>
                  <w:r>
                    <w:rPr>
                      <w:rFonts w:ascii="Calibri" w:hAnsi="Calibri"/>
                      <w:b/>
                      <w:sz w:val="18"/>
                    </w:rPr>
                    <w:t>$10,000,000</w:t>
                  </w:r>
                </w:p>
              </w:tc>
            </w:tr>
            <w:tr>
              <w:tc>
                <w:tcPr>
                  <w:tcW w:type="dxa" w:w="2340"/>
                </w:tcPr>
                <w:p>
                  <w:r>
                    <w:rPr>
                      <w:rFonts w:ascii="Calibri" w:hAnsi="Calibri"/>
                      <w:sz w:val="18"/>
                    </w:rPr>
                    <w:t>Business Price</w:t>
                  </w:r>
                </w:p>
              </w:tc>
              <w:tc>
                <w:tcPr>
                  <w:tcW w:type="dxa" w:w="2340"/>
                </w:tcPr>
                <w:p>
                  <w:r>
                    <w:rPr>
                      <w:rFonts w:ascii="Calibri" w:hAnsi="Calibri"/>
                      <w:b w:val="0"/>
                      <w:sz w:val="18"/>
                    </w:rPr>
                    <w:t>$7,500,000</w:t>
                  </w:r>
                </w:p>
              </w:tc>
            </w:tr>
            <w:tr>
              <w:tc>
                <w:tcPr>
                  <w:tcW w:type="dxa" w:w="2340"/>
                  <w:shd w:val="clear" w:color="auto" w:fill="F5F0E8"/>
                </w:tcPr>
                <w:p>
                  <w:r>
                    <w:rPr>
                      <w:rFonts w:ascii="Calibri" w:hAnsi="Calibri"/>
                      <w:sz w:val="18"/>
                    </w:rPr>
                    <w:t>Real Estate Price</w:t>
                  </w:r>
                </w:p>
              </w:tc>
              <w:tc>
                <w:tcPr>
                  <w:tcW w:type="dxa" w:w="2340"/>
                  <w:shd w:val="clear" w:color="auto" w:fill="F5F0E8"/>
                </w:tcPr>
                <w:p>
                  <w:r>
                    <w:rPr>
                      <w:rFonts w:ascii="Calibri" w:hAnsi="Calibri"/>
                      <w:b w:val="0"/>
                      <w:sz w:val="18"/>
                    </w:rPr>
                    <w:t>$2,500,000</w:t>
                  </w:r>
                </w:p>
              </w:tc>
            </w:tr>
            <w:tr>
              <w:tc>
                <w:tcPr>
                  <w:tcW w:type="dxa" w:w="2340"/>
                </w:tcPr>
                <w:p>
                  <w:r>
                    <w:rPr>
                      <w:rFonts w:ascii="Calibri" w:hAnsi="Calibri"/>
                      <w:sz w:val="18"/>
                    </w:rPr>
                    <w:t>Seller Note</w:t>
                  </w:r>
                </w:p>
              </w:tc>
              <w:tc>
                <w:tcPr>
                  <w:tcW w:type="dxa" w:w="2340"/>
                </w:tcPr>
                <w:p>
                  <w:r>
                    <w:rPr>
                      <w:rFonts w:ascii="Calibri" w:hAnsi="Calibri"/>
                      <w:b w:val="0"/>
                      <w:sz w:val="18"/>
                    </w:rPr>
                    <w:t>$1,150,000 (standby yr 1-2)</w:t>
                  </w:r>
                </w:p>
              </w:tc>
            </w:tr>
            <w:tr>
              <w:tc>
                <w:tcPr>
                  <w:tcW w:type="dxa" w:w="2340"/>
                  <w:shd w:val="clear" w:color="auto" w:fill="F5F0E8"/>
                </w:tcPr>
                <w:p>
                  <w:r>
                    <w:rPr>
                      <w:rFonts w:ascii="Calibri" w:hAnsi="Calibri"/>
                      <w:sz w:val="18"/>
                    </w:rPr>
                    <w:t>Seller Equity Rollover</w:t>
                  </w:r>
                </w:p>
              </w:tc>
              <w:tc>
                <w:tcPr>
                  <w:tcW w:type="dxa" w:w="2340"/>
                  <w:shd w:val="clear" w:color="auto" w:fill="F5F0E8"/>
                </w:tcPr>
                <w:p>
                  <w:r>
                    <w:rPr>
                      <w:rFonts w:ascii="Calibri" w:hAnsi="Calibri"/>
                      <w:b w:val="0"/>
                      <w:sz w:val="18"/>
                    </w:rPr>
                    <w:t>18% of OpCo</w:t>
                  </w:r>
                </w:p>
              </w:tc>
            </w:tr>
          </w:tbl>
          <w:p/>
        </w:tc>
        <w:tc>
          <w:tcPr>
            <w:tcW w:type="dxa" w:w="4752"/>
          </w:tcPr>
          <w:p>
            <w:r>
              <w:rPr>
                <w:rFonts w:ascii="Georgia" w:hAnsi="Georgia"/>
                <w:b/>
                <w:color w:val="1B2A3D"/>
                <w:sz w:val="22"/>
              </w:rPr>
              <w:t>Financing Request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560"/>
              <w:gridCol w:w="1560"/>
              <w:gridCol w:w="1560"/>
            </w:tblGrid>
            <w:tr>
              <w:tc>
                <w:tcPr>
                  <w:tcW w:type="dxa" w:w="1560"/>
                  <w:shd w:val="clear" w:color="auto" w:fill="1B2A3D"/>
                </w:tcPr>
                <w:p>
                  <w:r>
                    <w:rPr>
                      <w:rFonts w:ascii="Calibri" w:hAnsi="Calibri"/>
                      <w:b/>
                      <w:color w:val="FFFFFF"/>
                      <w:sz w:val="18"/>
                    </w:rPr>
                    <w:t>Facility</w:t>
                  </w:r>
                </w:p>
              </w:tc>
              <w:tc>
                <w:tcPr>
                  <w:tcW w:type="dxa" w:w="1560"/>
                  <w:shd w:val="clear" w:color="auto" w:fill="1B2A3D"/>
                </w:tcPr>
                <w:p>
                  <w:r>
                    <w:rPr>
                      <w:rFonts w:ascii="Calibri" w:hAnsi="Calibri"/>
                      <w:b/>
                      <w:color w:val="FFFFFF"/>
                      <w:sz w:val="18"/>
                    </w:rPr>
                    <w:t>Amount</w:t>
                  </w:r>
                </w:p>
              </w:tc>
              <w:tc>
                <w:tcPr>
                  <w:tcW w:type="dxa" w:w="1560"/>
                  <w:shd w:val="clear" w:color="auto" w:fill="1B2A3D"/>
                </w:tcPr>
                <w:p>
                  <w:r>
                    <w:rPr>
                      <w:rFonts w:ascii="Calibri" w:hAnsi="Calibri"/>
                      <w:b/>
                      <w:color w:val="FFFFFF"/>
                      <w:sz w:val="18"/>
                    </w:rPr>
                    <w:t>Purpose</w:t>
                  </w:r>
                </w:p>
              </w:tc>
            </w:tr>
            <w:tr>
              <w:tc>
                <w:tcPr>
                  <w:tcW w:type="dxa" w:w="1560"/>
                  <w:shd w:val="clear" w:color="auto" w:fill="F5F0E8"/>
                </w:tcPr>
                <w:p>
                  <w:r>
                    <w:rPr>
                      <w:rFonts w:ascii="Calibri" w:hAnsi="Calibri"/>
                      <w:sz w:val="18"/>
                    </w:rPr>
                    <w:t>SBA 7(a)</w:t>
                  </w:r>
                </w:p>
              </w:tc>
              <w:tc>
                <w:tcPr>
                  <w:tcW w:type="dxa" w:w="1560"/>
                  <w:shd w:val="clear" w:color="auto" w:fill="F5F0E8"/>
                </w:tcPr>
                <w:p>
                  <w:r>
                    <w:rPr>
                      <w:rFonts w:ascii="Calibri" w:hAnsi="Calibri"/>
                      <w:sz w:val="18"/>
                    </w:rPr>
                    <w:t>$5,000,000</w:t>
                  </w:r>
                </w:p>
              </w:tc>
              <w:tc>
                <w:tcPr>
                  <w:tcW w:type="dxa" w:w="1560"/>
                  <w:shd w:val="clear" w:color="auto" w:fill="F5F0E8"/>
                </w:tcPr>
                <w:p>
                  <w:r>
                    <w:rPr>
                      <w:rFonts w:ascii="Calibri" w:hAnsi="Calibri"/>
                      <w:sz w:val="18"/>
                    </w:rPr>
                    <w:t>Business acquisition</w:t>
                  </w:r>
                </w:p>
              </w:tc>
            </w:tr>
            <w:tr>
              <w:tc>
                <w:tcPr>
                  <w:tcW w:type="dxa" w:w="1560"/>
                </w:tcPr>
                <w:p>
                  <w:r>
                    <w:rPr>
                      <w:rFonts w:ascii="Calibri" w:hAnsi="Calibri"/>
                      <w:sz w:val="18"/>
                    </w:rPr>
                    <w:t>SBA 504 — Bank Portion</w:t>
                  </w:r>
                </w:p>
              </w:tc>
              <w:tc>
                <w:tcPr>
                  <w:tcW w:type="dxa" w:w="1560"/>
                </w:tcPr>
                <w:p>
                  <w:r>
                    <w:rPr>
                      <w:rFonts w:ascii="Calibri" w:hAnsi="Calibri"/>
                      <w:sz w:val="18"/>
                    </w:rPr>
                    <w:t>$1,250,000</w:t>
                  </w:r>
                </w:p>
              </w:tc>
              <w:tc>
                <w:tcPr>
                  <w:tcW w:type="dxa" w:w="1560"/>
                </w:tcPr>
                <w:p>
                  <w:r>
                    <w:rPr>
                      <w:rFonts w:ascii="Calibri" w:hAnsi="Calibri"/>
                      <w:sz w:val="18"/>
                    </w:rPr>
                    <w:t>Real estate (50%)</w:t>
                  </w:r>
                </w:p>
              </w:tc>
            </w:tr>
            <w:tr>
              <w:tc>
                <w:tcPr>
                  <w:tcW w:type="dxa" w:w="1560"/>
                  <w:shd w:val="clear" w:color="auto" w:fill="F5F0E8"/>
                </w:tcPr>
                <w:p>
                  <w:r>
                    <w:rPr>
                      <w:rFonts w:ascii="Calibri" w:hAnsi="Calibri"/>
                      <w:sz w:val="18"/>
                    </w:rPr>
                    <w:t>SBA 504 — CDC</w:t>
                  </w:r>
                </w:p>
              </w:tc>
              <w:tc>
                <w:tcPr>
                  <w:tcW w:type="dxa" w:w="1560"/>
                  <w:shd w:val="clear" w:color="auto" w:fill="F5F0E8"/>
                </w:tcPr>
                <w:p>
                  <w:r>
                    <w:rPr>
                      <w:rFonts w:ascii="Calibri" w:hAnsi="Calibri"/>
                      <w:sz w:val="18"/>
                    </w:rPr>
                    <w:t>$1,000,000</w:t>
                  </w:r>
                </w:p>
              </w:tc>
              <w:tc>
                <w:tcPr>
                  <w:tcW w:type="dxa" w:w="1560"/>
                  <w:shd w:val="clear" w:color="auto" w:fill="F5F0E8"/>
                </w:tcPr>
                <w:p>
                  <w:r>
                    <w:rPr>
                      <w:rFonts w:ascii="Calibri" w:hAnsi="Calibri"/>
                      <w:sz w:val="18"/>
                    </w:rPr>
                    <w:t>Real estate (40%)</w:t>
                  </w:r>
                </w:p>
              </w:tc>
            </w:tr>
            <w:tr>
              <w:tc>
                <w:tcPr>
                  <w:tcW w:type="dxa" w:w="1560"/>
                </w:tcPr>
                <w:p>
                  <w:r>
                    <w:rPr>
                      <w:rFonts w:ascii="Calibri" w:hAnsi="Calibri"/>
                      <w:sz w:val="18"/>
                    </w:rPr>
                    <w:t>Buyer Equity Injection</w:t>
                  </w:r>
                </w:p>
              </w:tc>
              <w:tc>
                <w:tcPr>
                  <w:tcW w:type="dxa" w:w="1560"/>
                </w:tcPr>
                <w:p>
                  <w:r>
                    <w:rPr>
                      <w:rFonts w:ascii="Calibri" w:hAnsi="Calibri"/>
                      <w:sz w:val="18"/>
                    </w:rPr>
                    <w:t>$250,000</w:t>
                  </w:r>
                </w:p>
              </w:tc>
              <w:tc>
                <w:tcPr>
                  <w:tcW w:type="dxa" w:w="1560"/>
                </w:tcPr>
                <w:p>
                  <w:r>
                    <w:rPr>
                      <w:rFonts w:ascii="Calibri" w:hAnsi="Calibri"/>
                      <w:sz w:val="18"/>
                    </w:rPr>
                    <w:t>RE equity (10%)</w:t>
                  </w:r>
                </w:p>
              </w:tc>
            </w:tr>
          </w:tbl>
          <w:p/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3D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color w:val="C9A84C"/>
                <w:sz w:val="18"/>
              </w:rPr>
              <w:t>Projected DSCR (Standby Period)</w:t>
              <w:br/>
            </w:r>
            <w:r>
              <w:rPr>
                <w:rFonts w:ascii="Georgia" w:hAnsi="Georgia"/>
                <w:b/>
                <w:color w:val="FFFFFF"/>
                <w:sz w:val="36"/>
              </w:rPr>
              <w:t>2.97x</w:t>
            </w:r>
          </w:p>
        </w:tc>
        <w:tc>
          <w:tcPr>
            <w:tcW w:type="dxa" w:w="4680"/>
            <w:shd w:val="clear" w:color="auto" w:fill="1B2A3D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color w:val="C9A84C"/>
                <w:sz w:val="18"/>
              </w:rPr>
              <w:t>Projected DSCR (Full Service)</w:t>
              <w:br/>
            </w:r>
            <w:r>
              <w:rPr>
                <w:rFonts w:ascii="Georgia" w:hAnsi="Georgia"/>
                <w:b/>
                <w:color w:val="FFFFFF"/>
                <w:sz w:val="36"/>
              </w:rPr>
              <w:t>2.32x</w:t>
            </w:r>
          </w:p>
        </w:tc>
      </w:tr>
    </w:tbl>
    <w:p>
      <w:pPr>
        <w:pBdr>
          <w:bottom w:val="single" w:sz="6" w:space="1" w:color="1B2A3D"/>
        </w:pBdr>
        <w:spacing w:before="40" w:after="120"/>
      </w:pPr>
    </w:p>
    <w:p>
      <w:r>
        <w:rPr>
          <w:rFonts w:ascii="Georgia" w:hAnsi="Georgia"/>
          <w:b/>
          <w:color w:val="1B2A3D"/>
          <w:sz w:val="32"/>
        </w:rPr>
        <w:t>TOP CUSTOMERS</w:t>
      </w:r>
    </w:p>
    <w:p>
      <w:r>
        <w:rPr>
          <w:rFonts w:ascii="Calibri" w:hAnsi="Calibri"/>
          <w:b w:val="0"/>
          <w:i/>
          <w:color w:val="666666"/>
          <w:sz w:val="20"/>
        </w:rPr>
        <w:t>All investment-grade national general contractors with 10+ year relationships: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F5F0E8"/>
          </w:tcPr>
          <w:p>
            <w:r>
              <w:rPr>
                <w:rFonts w:ascii="Calibri" w:hAnsi="Calibri"/>
                <w:b/>
                <w:sz w:val="20"/>
              </w:rPr>
              <w:t>Balfour Beatty Construction</w:t>
            </w:r>
          </w:p>
        </w:tc>
        <w:tc>
          <w:tcPr>
            <w:tcW w:type="dxa" w:w="3120"/>
            <w:shd w:val="clear" w:color="auto" w:fill="F5F0E8"/>
          </w:tcPr>
          <w:p>
            <w:r>
              <w:rPr>
                <w:rFonts w:ascii="Calibri" w:hAnsi="Calibri"/>
                <w:b w:val="0"/>
                <w:sz w:val="20"/>
              </w:rPr>
              <w:t>27% of AR</w:t>
            </w:r>
          </w:p>
        </w:tc>
        <w:tc>
          <w:tcPr>
            <w:tcW w:type="dxa" w:w="3120"/>
            <w:shd w:val="clear" w:color="auto" w:fill="F5F0E8"/>
          </w:tcPr>
          <w:p>
            <w:r>
              <w:rPr>
                <w:rFonts w:ascii="Calibri" w:hAnsi="Calibri"/>
                <w:b w:val="0"/>
                <w:sz w:val="20"/>
              </w:rPr>
              <w:t>10+ year relationship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/>
                <w:sz w:val="20"/>
              </w:rPr>
              <w:t>Rogers-O'Brien Construction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sz w:val="20"/>
              </w:rPr>
              <w:t>17% of AR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sz w:val="20"/>
              </w:rPr>
              <w:t>10+ year relationship</w:t>
            </w:r>
          </w:p>
        </w:tc>
      </w:tr>
    </w:tbl>
    <w:p>
      <w:r>
        <w:rPr>
          <w:rFonts w:ascii="Calibri" w:hAnsi="Calibri"/>
          <w:b w:val="0"/>
          <w:i/>
          <w:color w:val="666666"/>
          <w:sz w:val="18"/>
        </w:rPr>
        <w:t>Also: JE Dunn Construction · Structure Tone · Holder Construction Group</w:t>
      </w:r>
    </w:p>
    <w:p>
      <w:pPr>
        <w:pBdr>
          <w:bottom w:val="single" w:sz="6" w:space="1" w:color="1B2A3D"/>
        </w:pBdr>
        <w:spacing w:before="40" w:after="120"/>
      </w:pPr>
    </w:p>
    <w:p>
      <w:r>
        <w:rPr>
          <w:rFonts w:ascii="Georgia" w:hAnsi="Georgia"/>
          <w:b/>
          <w:color w:val="1B2A3D"/>
          <w:sz w:val="32"/>
        </w:rPr>
        <w:t>THE BUYER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760"/>
            <w:shd w:val="clear" w:color="auto" w:fill="F5F0E8"/>
          </w:tcPr>
          <w:p>
            <w:pPr>
              <w:spacing w:before="120"/>
            </w:pPr>
            <w:r>
              <w:rPr>
                <w:rFonts w:ascii="Georgia" w:hAnsi="Georgia"/>
                <w:b/>
                <w:color w:val="1B2A3D"/>
                <w:sz w:val="22"/>
              </w:rPr>
              <w:t>Joel Bouck — Viking 90 Group / One Buck Capital</w:t>
            </w:r>
          </w:p>
          <w:p>
            <w:r>
              <w:rPr>
                <w:rFonts w:ascii="Calibri" w:hAnsi="Calibri"/>
                <w:color w:val="333333"/>
                <w:sz w:val="20"/>
              </w:rPr>
              <w:t>•  Co-founder of Payix, an omni-channel payment technology platform.</w:t>
            </w:r>
          </w:p>
          <w:p>
            <w:r>
              <w:rPr>
                <w:rFonts w:ascii="Calibri" w:hAnsi="Calibri"/>
                <w:color w:val="333333"/>
                <w:sz w:val="20"/>
              </w:rPr>
              <w:t>•  Sold to REPAY Holdings (NASDAQ: RPAY) for up to $115 million in January 2022.</w:t>
            </w:r>
          </w:p>
          <w:p>
            <w:pPr>
              <w:spacing w:after="120"/>
            </w:pPr>
            <w:r>
              <w:rPr>
                <w:rFonts w:ascii="Calibri" w:hAnsi="Calibri"/>
                <w:color w:val="333333"/>
                <w:sz w:val="20"/>
              </w:rPr>
              <w:t>•  Experienced operator with management team in place: CFO and President of Sales both staying post-close with equity incentives.</w:t>
            </w:r>
          </w:p>
        </w:tc>
        <w:tc>
          <w:tcPr>
            <w:tcW w:type="dxa" w:w="3600"/>
            <w:shd w:val="clear" w:color="auto" w:fill="1B2A3D"/>
          </w:tcPr>
          <w:p>
            <w:pPr>
              <w:spacing w:before="120"/>
            </w:pPr>
            <w:r>
              <w:rPr>
                <w:rFonts w:ascii="Georgia" w:hAnsi="Georgia"/>
                <w:b/>
                <w:color w:val="C9A84C"/>
                <w:sz w:val="22"/>
              </w:rPr>
              <w:t>Capitalization</w:t>
            </w:r>
          </w:p>
          <w:p>
            <w:r>
              <w:rPr>
                <w:rFonts w:ascii="Calibri" w:hAnsi="Calibri"/>
                <w:color w:val="F5F0E8"/>
                <w:sz w:val="20"/>
              </w:rPr>
              <w:t xml:space="preserve">Liquid Assets:  </w:t>
            </w:r>
            <w:r>
              <w:rPr>
                <w:rFonts w:ascii="Calibri" w:hAnsi="Calibri"/>
                <w:b/>
                <w:color w:val="FFFFFF"/>
                <w:sz w:val="20"/>
              </w:rPr>
              <w:t>$250,000</w:t>
            </w:r>
          </w:p>
          <w:p>
            <w:r>
              <w:rPr>
                <w:rFonts w:ascii="Calibri" w:hAnsi="Calibri"/>
                <w:color w:val="F5F0E8"/>
                <w:sz w:val="20"/>
              </w:rPr>
              <w:t xml:space="preserve">Investor Group:  </w:t>
            </w:r>
            <w:r>
              <w:rPr>
                <w:rFonts w:ascii="Calibri" w:hAnsi="Calibri"/>
                <w:b/>
                <w:color w:val="FFFFFF"/>
                <w:sz w:val="20"/>
              </w:rPr>
              <w:t>+$150,000</w:t>
            </w:r>
          </w:p>
          <w:p>
            <w:pPr>
              <w:spacing w:after="120"/>
            </w:pPr>
            <w:r>
              <w:rPr>
                <w:rFonts w:ascii="Calibri" w:hAnsi="Calibri"/>
                <w:color w:val="F5F0E8"/>
                <w:sz w:val="20"/>
              </w:rPr>
              <w:t xml:space="preserve">Total Equity:  </w:t>
            </w:r>
            <w:r>
              <w:rPr>
                <w:rFonts w:ascii="Calibri" w:hAnsi="Calibri"/>
                <w:b/>
                <w:color w:val="FFFFFF"/>
                <w:sz w:val="20"/>
              </w:rPr>
              <w:t>$400,000</w:t>
            </w:r>
          </w:p>
        </w:tc>
      </w:tr>
    </w:tbl>
    <w:p>
      <w:pPr>
        <w:pBdr>
          <w:bottom w:val="single" w:sz="6" w:space="1" w:color="1B2A3D"/>
        </w:pBdr>
        <w:spacing w:before="40" w:after="120"/>
      </w:pPr>
    </w:p>
    <w:p>
      <w:r>
        <w:rPr>
          <w:rFonts w:ascii="Georgia" w:hAnsi="Georgia"/>
          <w:b/>
          <w:color w:val="1B2A3D"/>
          <w:sz w:val="32"/>
        </w:rPr>
        <w:t>WHY THIS IS AN ATTRACTIVE SBA OPPORTUNITY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C9A84C"/>
          </w:tcPr>
          <w:p>
            <w:r>
              <w:rPr>
                <w:rFonts w:ascii="Calibri" w:hAnsi="Calibri"/>
                <w:b/>
                <w:color w:val="1B2A3D"/>
                <w:sz w:val="18"/>
              </w:rPr>
              <w:t>Zero existing debt</w:t>
            </w:r>
          </w:p>
        </w:tc>
        <w:tc>
          <w:tcPr>
            <w:tcW w:type="dxa" w:w="6192"/>
            <w:shd w:val="clear" w:color="auto" w:fill="F5F0E8"/>
          </w:tcPr>
          <w:p>
            <w:r>
              <w:rPr>
                <w:rFonts w:ascii="Calibri" w:hAnsi="Calibri"/>
                <w:sz w:val="18"/>
              </w:rPr>
              <w:t>No competing liens on any collateral. Clean balance sheet.</w:t>
            </w:r>
          </w:p>
        </w:tc>
      </w:tr>
      <w:tr>
        <w:tc>
          <w:tcPr>
            <w:tcW w:type="dxa" w:w="3168"/>
            <w:shd w:val="clear" w:color="auto" w:fill="1B2A3D"/>
          </w:tcPr>
          <w:p>
            <w:r>
              <w:rPr>
                <w:rFonts w:ascii="Calibri" w:hAnsi="Calibri"/>
                <w:b/>
                <w:color w:val="C9A84C"/>
                <w:sz w:val="18"/>
              </w:rPr>
              <w:t>34% revenue growth + $12M backlog</w:t>
            </w:r>
          </w:p>
        </w:tc>
        <w:tc>
          <w:tcPr>
            <w:tcW w:type="dxa" w:w="6192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Borrowing base expanding. Strong forward visibility.</w:t>
            </w:r>
          </w:p>
        </w:tc>
      </w:tr>
      <w:tr>
        <w:tc>
          <w:tcPr>
            <w:tcW w:type="dxa" w:w="3168"/>
            <w:shd w:val="clear" w:color="auto" w:fill="C9A84C"/>
          </w:tcPr>
          <w:p>
            <w:r>
              <w:rPr>
                <w:rFonts w:ascii="Calibri" w:hAnsi="Calibri"/>
                <w:b/>
                <w:color w:val="1B2A3D"/>
                <w:sz w:val="18"/>
              </w:rPr>
              <w:t>Investment-grade customer base</w:t>
            </w:r>
          </w:p>
        </w:tc>
        <w:tc>
          <w:tcPr>
            <w:tcW w:type="dxa" w:w="6192"/>
            <w:shd w:val="clear" w:color="auto" w:fill="F5F0E8"/>
          </w:tcPr>
          <w:p>
            <w:r>
              <w:rPr>
                <w:rFonts w:ascii="Calibri" w:hAnsi="Calibri"/>
                <w:sz w:val="18"/>
              </w:rPr>
              <w:t>Code-mandated, non-discretionary payments. Balfour Beatty, Rogers-O'Brien, JE Dunn.</w:t>
            </w:r>
          </w:p>
        </w:tc>
      </w:tr>
      <w:tr>
        <w:tc>
          <w:tcPr>
            <w:tcW w:type="dxa" w:w="3168"/>
            <w:shd w:val="clear" w:color="auto" w:fill="1B2A3D"/>
          </w:tcPr>
          <w:p>
            <w:r>
              <w:rPr>
                <w:rFonts w:ascii="Calibri" w:hAnsi="Calibri"/>
                <w:b/>
                <w:color w:val="C9A84C"/>
                <w:sz w:val="18"/>
              </w:rPr>
              <w:t>Seller rolling 18% equity</w:t>
            </w:r>
          </w:p>
        </w:tc>
        <w:tc>
          <w:tcPr>
            <w:tcW w:type="dxa" w:w="6192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Strongest possible continuity signal. Skin in the game.</w:t>
            </w:r>
          </w:p>
        </w:tc>
      </w:tr>
      <w:tr>
        <w:tc>
          <w:tcPr>
            <w:tcW w:type="dxa" w:w="3168"/>
            <w:shd w:val="clear" w:color="auto" w:fill="C9A84C"/>
          </w:tcPr>
          <w:p>
            <w:r>
              <w:rPr>
                <w:rFonts w:ascii="Calibri" w:hAnsi="Calibri"/>
                <w:b/>
                <w:color w:val="1B2A3D"/>
                <w:sz w:val="18"/>
              </w:rPr>
              <w:t>Proven operator with exit history</w:t>
            </w:r>
          </w:p>
        </w:tc>
        <w:tc>
          <w:tcPr>
            <w:tcW w:type="dxa" w:w="6192"/>
            <w:shd w:val="clear" w:color="auto" w:fill="F5F0E8"/>
          </w:tcPr>
          <w:p>
            <w:r>
              <w:rPr>
                <w:rFonts w:ascii="Calibri" w:hAnsi="Calibri"/>
                <w:sz w:val="18"/>
              </w:rPr>
              <w:t>REPAY Holdings acquisition, NASDAQ: RPAY, up to $115M.</w:t>
            </w:r>
          </w:p>
        </w:tc>
      </w:tr>
      <w:tr>
        <w:tc>
          <w:tcPr>
            <w:tcW w:type="dxa" w:w="3168"/>
            <w:shd w:val="clear" w:color="auto" w:fill="1B2A3D"/>
          </w:tcPr>
          <w:p>
            <w:r>
              <w:rPr>
                <w:rFonts w:ascii="Calibri" w:hAnsi="Calibri"/>
                <w:b/>
                <w:color w:val="C9A84C"/>
                <w:sz w:val="18"/>
              </w:rPr>
              <w:t>DSCR of 2.32x at full debt service</w:t>
            </w:r>
          </w:p>
        </w:tc>
        <w:tc>
          <w:tcPr>
            <w:tcW w:type="dxa" w:w="6192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Strong lender coverage. Free cash flow ~$1.67M/year after full debt service.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B2A3D"/>
          </w:tcPr>
          <w:p>
            <w:pPr>
              <w:spacing w:before="120" w:after="80"/>
              <w:jc w:val="center"/>
            </w:pPr>
            <w:r>
              <w:rPr>
                <w:rFonts w:ascii="Calibri" w:hAnsi="Calibri"/>
                <w:i/>
                <w:color w:val="F5F0E8"/>
                <w:sz w:val="18"/>
              </w:rPr>
              <w:t>Full financials (3-year P&amp;L, balance sheets, tax returns, WIP schedule, AR aging, customer list) available under NDA or standard bank confidentiality agreement.</w:t>
            </w:r>
          </w:p>
          <w:p>
            <w:pPr>
              <w:spacing w:after="120"/>
              <w:jc w:val="center"/>
            </w:pPr>
            <w:r>
              <w:rPr>
                <w:rFonts w:ascii="Calibri" w:hAnsi="Calibri"/>
                <w:b/>
                <w:color w:val="C9A84C"/>
                <w:sz w:val="18"/>
              </w:rPr>
              <w:t>Joel Bouck  |  jb@onebuckcapital.com  |  Viking 90 Group  |  CONFIDENTIAL — For Lending Discussion Only</w:t>
            </w:r>
          </w:p>
        </w:tc>
      </w:tr>
    </w:tbl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