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val="clear" w:color="auto" w:fill="1B2A3D"/>
          </w:tcPr>
          <w:p>
            <w:pPr>
              <w:spacing w:before="160" w:after="40"/>
              <w:jc w:val="center"/>
            </w:pPr>
            <w:r>
              <w:rPr>
                <w:rFonts w:ascii="Georgia" w:hAnsi="Georgia"/>
                <w:b/>
                <w:color w:val="FFFFFF"/>
                <w:sz w:val="40"/>
              </w:rPr>
              <w:t>GFS SAFEGUARD™</w:t>
            </w:r>
          </w:p>
          <w:p>
            <w:pPr>
              <w:spacing w:before="40" w:after="160"/>
              <w:jc w:val="center"/>
            </w:pPr>
            <w:r>
              <w:rPr>
                <w:rFonts w:ascii="Calibri" w:hAnsi="Calibri"/>
                <w:color w:val="C9A84C"/>
                <w:sz w:val="22"/>
              </w:rPr>
              <w:t>Safety as a Service — Program Overview &amp; Business Case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666666"/>
          <w:sz w:val="20"/>
        </w:rPr>
        <w:t>GFS Fire Pros  |  Viking 90 Group  |  CONFIDENTIAL</w:t>
      </w:r>
    </w:p>
    <w:p>
      <w:pPr>
        <w:pBdr>
          <w:bottom w:val="single" w:sz="6" w:space="1" w:color="1B2A3D"/>
        </w:pBdr>
        <w:spacing w:before="40" w:after="120"/>
      </w:pPr>
    </w:p>
    <w:p>
      <w:r>
        <w:rPr>
          <w:rFonts w:ascii="Georgia" w:hAnsi="Georgia"/>
          <w:b/>
          <w:color w:val="1B2A3D"/>
          <w:sz w:val="32"/>
        </w:rPr>
        <w:t>PART 1: THE OPPORTUNITY</w:t>
      </w:r>
    </w:p>
    <w:p>
      <w:r>
        <w:rPr>
          <w:rFonts w:ascii="Georgia" w:hAnsi="Georgia"/>
          <w:b/>
          <w:color w:val="333333"/>
          <w:sz w:val="26"/>
        </w:rPr>
        <w:t>The Old Model vs. The New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B2A3D"/>
          </w:tcPr>
          <w:p>
            <w:r>
              <w:rPr>
                <w:rFonts w:ascii="Georgia" w:hAnsi="Georgia"/>
                <w:b/>
                <w:color w:val="FFFFFF"/>
                <w:sz w:val="22"/>
              </w:rPr>
              <w:t>The Old Model (Today)</w:t>
            </w:r>
          </w:p>
        </w:tc>
        <w:tc>
          <w:tcPr>
            <w:tcW w:type="dxa" w:w="4536"/>
            <w:shd w:val="clear" w:color="auto" w:fill="C9A84C"/>
          </w:tcPr>
          <w:p>
            <w:r>
              <w:rPr>
                <w:rFonts w:ascii="Georgia" w:hAnsi="Georgia"/>
                <w:b/>
                <w:color w:val="1B2A3D"/>
                <w:sz w:val="22"/>
              </w:rPr>
              <w:t>The New Model (GFS SafeGuard)</w:t>
            </w:r>
          </w:p>
        </w:tc>
      </w:tr>
      <w:tr>
        <w:tc>
          <w:tcPr>
            <w:tcW w:type="dxa" w:w="4536"/>
            <w:shd w:val="clear" w:color="auto" w:fill="F5F0E8"/>
          </w:tcPr>
          <w:p>
            <w:r>
              <w:rPr>
                <w:rFonts w:ascii="Calibri" w:hAnsi="Calibri"/>
                <w:sz w:val="20"/>
              </w:rPr>
              <w:t>Install a system → get paid → hope they call back</w:t>
            </w:r>
          </w:p>
        </w:tc>
        <w:tc>
          <w:tcPr>
            <w:tcW w:type="dxa" w:w="4536"/>
            <w:shd w:val="clear" w:color="auto" w:fill="F5F0E8"/>
          </w:tcPr>
          <w:p>
            <w:r>
              <w:rPr>
                <w:rFonts w:ascii="Calibri" w:hAnsi="Calibri"/>
                <w:sz w:val="20"/>
              </w:rPr>
              <w:t>Install a system → lock in monthly revenue forever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Inspection is a one-time transaction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Every building on a subscription contract</w:t>
            </w:r>
          </w:p>
        </w:tc>
      </w:tr>
      <w:tr>
        <w:tc>
          <w:tcPr>
            <w:tcW w:type="dxa" w:w="4536"/>
            <w:shd w:val="clear" w:color="auto" w:fill="F5F0E8"/>
          </w:tcPr>
          <w:p>
            <w:r>
              <w:rPr>
                <w:rFonts w:ascii="Calibri" w:hAnsi="Calibri"/>
                <w:sz w:val="20"/>
              </w:rPr>
              <w:t>Revenue is lumpy and unpredictable</w:t>
            </w:r>
          </w:p>
        </w:tc>
        <w:tc>
          <w:tcPr>
            <w:tcW w:type="dxa" w:w="4536"/>
            <w:shd w:val="clear" w:color="auto" w:fill="F5F0E8"/>
          </w:tcPr>
          <w:p>
            <w:r>
              <w:rPr>
                <w:rFonts w:ascii="Calibri" w:hAnsi="Calibri"/>
                <w:sz w:val="20"/>
              </w:rPr>
              <w:t>Revenue is predictable and compounds every month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Customer calls a competitor when something breaks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You're the first call because you never left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B2A3D"/>
          </w:tcPr>
          <w:p>
            <w:pPr>
              <w:spacing w:before="160"/>
            </w:pPr>
            <w:r>
              <w:rPr>
                <w:rFonts w:ascii="Georgia" w:hAnsi="Georgia"/>
                <w:b/>
                <w:color w:val="C9A84C"/>
                <w:sz w:val="24"/>
              </w:rPr>
              <w:t>The Proof: How Pye-Barker Did It</w:t>
            </w:r>
          </w:p>
          <w:p>
            <w:pPr>
              <w:spacing w:after="160"/>
              <w:ind w:left="144"/>
            </w:pPr>
            <w:r>
              <w:rPr>
                <w:rFonts w:ascii="Calibri" w:hAnsi="Calibri"/>
                <w:color w:val="F5F0E8"/>
                <w:sz w:val="20"/>
              </w:rPr>
              <w:t>Pye-Barker started as a small regional fire protection company. They built a subscription/service model and completed 57 acquisitions in 2025 alone. Revenue: $2 billion. Monthly Recurring Revenue: $16M+ and growing. They didn't get there by being the best installer — they got there by owning the relationship after the install.</w:t>
              <w:br/>
              <w:br/>
              <w:t>GFS already has the relationships. SafeGuard turns them into monthly revenue.</w:t>
            </w:r>
          </w:p>
        </w:tc>
      </w:tr>
    </w:tbl>
    <w:p>
      <w:pPr>
        <w:pBdr>
          <w:bottom w:val="single" w:sz="6" w:space="1" w:color="1B2A3D"/>
        </w:pBdr>
        <w:spacing w:before="40" w:after="120"/>
      </w:pPr>
    </w:p>
    <w:p>
      <w:r>
        <w:rPr>
          <w:rFonts w:ascii="Georgia" w:hAnsi="Georgia"/>
          <w:b/>
          <w:color w:val="1B2A3D"/>
          <w:sz w:val="32"/>
        </w:rPr>
        <w:t>PART 2: THE PROGRAM — THREE TIERS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040"/>
            <w:shd w:val="clear" w:color="auto" w:fill="B87333"/>
          </w:tcPr>
          <w:p>
            <w:pPr>
              <w:spacing w:before="120" w:after="120"/>
            </w:pPr>
            <w:r>
              <w:rPr>
                <w:rFonts w:ascii="Georgia" w:hAnsi="Georgia"/>
                <w:b/>
                <w:color w:val="FFFFFF"/>
                <w:sz w:val="28"/>
              </w:rPr>
              <w:t>BRONZE — "Comply"</w:t>
            </w:r>
          </w:p>
        </w:tc>
        <w:tc>
          <w:tcPr>
            <w:tcW w:type="dxa" w:w="4320"/>
            <w:shd w:val="clear" w:color="auto" w:fill="B87333"/>
          </w:tcPr>
          <w:p>
            <w:pPr>
              <w:spacing w:before="120" w:after="120"/>
              <w:jc w:val="right"/>
            </w:pPr>
            <w:r>
              <w:rPr>
                <w:rFonts w:ascii="Georgia" w:hAnsi="Georgia"/>
                <w:b/>
                <w:color w:val="FFFFFF"/>
                <w:sz w:val="28"/>
              </w:rPr>
              <w:t>$175–$350/month per building</w:t>
            </w:r>
          </w:p>
        </w:tc>
      </w:tr>
    </w:tbl>
    <w:p>
      <w:r>
        <w:rPr>
          <w:rFonts w:ascii="Calibri" w:hAnsi="Calibri"/>
          <w:i/>
          <w:color w:val="666666"/>
          <w:sz w:val="20"/>
        </w:rPr>
        <w:t>Best for: Small commercial buildings, single-tenant spaces, cost-conscious owners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/>
                <w:color w:val="1B2A3D"/>
                <w:sz w:val="20"/>
              </w:rPr>
              <w:t>What's Included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Annual fire alarm inspection (NFPA 72)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Annual sprinkler inspection (NFPA 25)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Annual fire extinguisher inspection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Digital inspection report delivered same day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Compliance certificate for insurance and AHJ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Online customer portal — all records 24/7</w:t>
            </w:r>
          </w:p>
        </w:tc>
        <w:tc>
          <w:tcPr>
            <w:tcW w:type="dxa" w:w="3600"/>
            <w:shd w:val="clear" w:color="auto" w:fill="F5F0E8"/>
          </w:tcPr>
          <w:p>
            <w:r>
              <w:rPr>
                <w:rFonts w:ascii="Calibri" w:hAnsi="Calibri"/>
                <w:b/>
                <w:color w:val="1B2A3D"/>
                <w:sz w:val="20"/>
              </w:rPr>
              <w:t>Economics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sz w:val="18"/>
              </w:rPr>
              <w:t>Annual Value to Customer:</w:t>
              <w:br/>
            </w:r>
            <w:r>
              <w:rPr>
                <w:rFonts w:ascii="Calibri" w:hAnsi="Calibri"/>
                <w:b/>
                <w:color w:val="1B2A3D"/>
                <w:sz w:val="22"/>
              </w:rPr>
              <w:t>$900–$2,400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sz w:val="18"/>
              </w:rPr>
              <w:t>GFS Delivery Cost:</w:t>
              <w:br/>
            </w:r>
            <w:r>
              <w:rPr>
                <w:rFonts w:ascii="Calibri" w:hAnsi="Calibri"/>
                <w:b/>
                <w:color w:val="1B2A3D"/>
                <w:sz w:val="22"/>
              </w:rPr>
              <w:t>~$400–$600/year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sz w:val="18"/>
              </w:rPr>
              <w:t>Gross Margin:</w:t>
              <w:br/>
            </w:r>
            <w:r>
              <w:rPr>
                <w:rFonts w:ascii="Calibri" w:hAnsi="Calibri"/>
                <w:b/>
                <w:color w:val="1B2A3D"/>
                <w:sz w:val="22"/>
              </w:rPr>
              <w:t>60–70%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040"/>
            <w:shd w:val="clear" w:color="auto" w:fill="708090"/>
          </w:tcPr>
          <w:p>
            <w:pPr>
              <w:spacing w:before="120" w:after="120"/>
            </w:pPr>
            <w:r>
              <w:rPr>
                <w:rFonts w:ascii="Georgia" w:hAnsi="Georgia"/>
                <w:b/>
                <w:color w:val="FFFFFF"/>
                <w:sz w:val="28"/>
              </w:rPr>
              <w:t>SILVER — "Protect"</w:t>
            </w:r>
          </w:p>
        </w:tc>
        <w:tc>
          <w:tcPr>
            <w:tcW w:type="dxa" w:w="4320"/>
            <w:shd w:val="clear" w:color="auto" w:fill="708090"/>
          </w:tcPr>
          <w:p>
            <w:pPr>
              <w:spacing w:before="120" w:after="120"/>
              <w:jc w:val="right"/>
            </w:pPr>
            <w:r>
              <w:rPr>
                <w:rFonts w:ascii="Georgia" w:hAnsi="Georgia"/>
                <w:b/>
                <w:color w:val="FFFFFF"/>
                <w:sz w:val="28"/>
              </w:rPr>
              <w:t>$400–$700/month per building</w:t>
            </w:r>
          </w:p>
        </w:tc>
      </w:tr>
    </w:tbl>
    <w:p>
      <w:r>
        <w:rPr>
          <w:rFonts w:ascii="Calibri" w:hAnsi="Calibri"/>
          <w:i/>
          <w:color w:val="666666"/>
          <w:sz w:val="20"/>
        </w:rPr>
        <w:t>Best for: Mid-size commercial, property managers, multi-tenant buildings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/>
                <w:color w:val="1B2A3D"/>
                <w:sz w:val="20"/>
              </w:rPr>
              <w:t>What's Included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Everything in Bronze, PLUS: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24/7 fire alarm monitoring (white-label central station)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Semi-annual inspections (alarm + sprinkler)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Deficiency tracking — repair quote within 24 hours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Priority response (within 4 hours for service calls)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Monthly system status email to building owner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Dedicated GFS account manager</w:t>
            </w:r>
          </w:p>
        </w:tc>
        <w:tc>
          <w:tcPr>
            <w:tcW w:type="dxa" w:w="3600"/>
            <w:shd w:val="clear" w:color="auto" w:fill="F5F0E8"/>
          </w:tcPr>
          <w:p>
            <w:r>
              <w:rPr>
                <w:rFonts w:ascii="Calibri" w:hAnsi="Calibri"/>
                <w:b/>
                <w:color w:val="1B2A3D"/>
                <w:sz w:val="20"/>
              </w:rPr>
              <w:t>Economics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sz w:val="18"/>
              </w:rPr>
              <w:t>Annual Value to Customer:</w:t>
              <w:br/>
            </w:r>
            <w:r>
              <w:rPr>
                <w:rFonts w:ascii="Calibri" w:hAnsi="Calibri"/>
                <w:b/>
                <w:color w:val="1B2A3D"/>
                <w:sz w:val="22"/>
              </w:rPr>
              <w:t>$4,800–$8,400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sz w:val="18"/>
              </w:rPr>
              <w:t>GFS Delivery Cost:</w:t>
              <w:br/>
            </w:r>
            <w:r>
              <w:rPr>
                <w:rFonts w:ascii="Calibri" w:hAnsi="Calibri"/>
                <w:b/>
                <w:color w:val="1B2A3D"/>
                <w:sz w:val="22"/>
              </w:rPr>
              <w:t>~$1,200–$2,000/year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sz w:val="18"/>
              </w:rPr>
              <w:t>Gross Margin:</w:t>
              <w:br/>
            </w:r>
            <w:r>
              <w:rPr>
                <w:rFonts w:ascii="Calibri" w:hAnsi="Calibri"/>
                <w:b/>
                <w:color w:val="1B2A3D"/>
                <w:sz w:val="22"/>
              </w:rPr>
              <w:t>65–75%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040"/>
            <w:shd w:val="clear" w:color="auto" w:fill="C9A84C"/>
          </w:tcPr>
          <w:p>
            <w:pPr>
              <w:spacing w:before="120" w:after="120"/>
            </w:pPr>
            <w:r>
              <w:rPr>
                <w:rFonts w:ascii="Georgia" w:hAnsi="Georgia"/>
                <w:b/>
                <w:color w:val="1B2A3D"/>
                <w:sz w:val="28"/>
              </w:rPr>
              <w:t>GOLD — "Command"</w:t>
            </w:r>
          </w:p>
        </w:tc>
        <w:tc>
          <w:tcPr>
            <w:tcW w:type="dxa" w:w="4320"/>
            <w:shd w:val="clear" w:color="auto" w:fill="C9A84C"/>
          </w:tcPr>
          <w:p>
            <w:pPr>
              <w:spacing w:before="120" w:after="120"/>
              <w:jc w:val="right"/>
            </w:pPr>
            <w:r>
              <w:rPr>
                <w:rFonts w:ascii="Georgia" w:hAnsi="Georgia"/>
                <w:b/>
                <w:color w:val="1B2A3D"/>
                <w:sz w:val="28"/>
              </w:rPr>
              <w:t>$800–$1,500/month per building</w:t>
            </w:r>
          </w:p>
        </w:tc>
      </w:tr>
    </w:tbl>
    <w:p>
      <w:r>
        <w:rPr>
          <w:rFonts w:ascii="Calibri" w:hAnsi="Calibri"/>
          <w:i/>
          <w:color w:val="666666"/>
          <w:sz w:val="20"/>
        </w:rPr>
        <w:t>Best for: Data centers, hospitals, large commercial, multi-location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/>
                <w:color w:val="1B2A3D"/>
                <w:sz w:val="20"/>
              </w:rPr>
              <w:t>What's Included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Everything in Silver, PLUS: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Quarterly inspections across all systems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AI-powered predictive monitoring (IoT sensors)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Annual system health report + 12-month maintenance schedule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Same-day emergency response guarantee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Dedicated technician assigned to each building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Executive dashboard — real-time health and compliance status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✓  Insurance documentation package (audit-ready)</w:t>
            </w:r>
          </w:p>
        </w:tc>
        <w:tc>
          <w:tcPr>
            <w:tcW w:type="dxa" w:w="3600"/>
            <w:shd w:val="clear" w:color="auto" w:fill="F5F0E8"/>
          </w:tcPr>
          <w:p>
            <w:r>
              <w:rPr>
                <w:rFonts w:ascii="Calibri" w:hAnsi="Calibri"/>
                <w:b/>
                <w:color w:val="1B2A3D"/>
                <w:sz w:val="20"/>
              </w:rPr>
              <w:t>Economics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sz w:val="18"/>
              </w:rPr>
              <w:t>Annual Value to Customer:</w:t>
              <w:br/>
            </w:r>
            <w:r>
              <w:rPr>
                <w:rFonts w:ascii="Calibri" w:hAnsi="Calibri"/>
                <w:b/>
                <w:color w:val="1B2A3D"/>
                <w:sz w:val="22"/>
              </w:rPr>
              <w:t>$9,600–$18,000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sz w:val="18"/>
              </w:rPr>
              <w:t>GFS Delivery Cost:</w:t>
              <w:br/>
            </w:r>
            <w:r>
              <w:rPr>
                <w:rFonts w:ascii="Calibri" w:hAnsi="Calibri"/>
                <w:b/>
                <w:color w:val="1B2A3D"/>
                <w:sz w:val="22"/>
              </w:rPr>
              <w:t>~$2,500–$4,000/year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sz w:val="18"/>
              </w:rPr>
              <w:t>Gross Margin:</w:t>
              <w:br/>
            </w:r>
            <w:r>
              <w:rPr>
                <w:rFonts w:ascii="Calibri" w:hAnsi="Calibri"/>
                <w:b/>
                <w:color w:val="1B2A3D"/>
                <w:sz w:val="22"/>
              </w:rPr>
              <w:t>70–80%</w:t>
            </w:r>
          </w:p>
        </w:tc>
      </w:tr>
    </w:tbl>
    <w:p>
      <w:pPr>
        <w:pBdr>
          <w:bottom w:val="single" w:sz="6" w:space="1" w:color="1B2A3D"/>
        </w:pBdr>
        <w:spacing w:before="40" w:after="120"/>
      </w:pPr>
    </w:p>
    <w:p>
      <w:r>
        <w:rPr>
          <w:rFonts w:ascii="Georgia" w:hAnsi="Georgia"/>
          <w:b/>
          <w:color w:val="1B2A3D"/>
          <w:sz w:val="32"/>
        </w:rPr>
        <w:t>PART 3: HOW TO LAUNCH — STEP BY STEP</w:t>
      </w:r>
    </w:p>
    <w:p>
      <w:pPr>
        <w:spacing w:before="120"/>
      </w:pPr>
      <w:r>
        <w:rPr>
          <w:rFonts w:ascii="Georgia" w:hAnsi="Georgia"/>
          <w:b/>
          <w:color w:val="1B2A3D"/>
          <w:sz w:val="22"/>
        </w:rPr>
        <w:t>Step 1 — Pick Your Monitoring Partner (Month 1–2)</w:t>
      </w:r>
    </w:p>
    <w:p>
      <w:r>
        <w:rPr>
          <w:rFonts w:ascii="Calibri" w:hAnsi="Calibri"/>
          <w:b w:val="0"/>
          <w:i w:val="0"/>
          <w:sz w:val="20"/>
        </w:rPr>
        <w:t>White-label monitoring from a wholesale partner. GFS SafeGuard brand on the outside; their infrastructure underneath.</w:t>
        <w:br/>
        <w:t>Wholesale cost to GFS: $8–$15/account/month.  Charge to customer: $50–$75/month.</w:t>
        <w:br/>
        <w:t>Recommended partners: Alarm.com · Monitoring America · COPS Monitoring · Affiliated Monitoring · Bold Group</w:t>
      </w:r>
    </w:p>
    <w:p>
      <w:pPr>
        <w:spacing w:before="120"/>
      </w:pPr>
      <w:r>
        <w:rPr>
          <w:rFonts w:ascii="Georgia" w:hAnsi="Georgia"/>
          <w:b/>
          <w:color w:val="1B2A3D"/>
          <w:sz w:val="22"/>
        </w:rPr>
        <w:t>Step 2 — Pick Your Inspection Software (Month 1)</w:t>
      </w:r>
    </w:p>
    <w:p>
      <w:r>
        <w:rPr>
          <w:rFonts w:ascii="Calibri" w:hAnsi="Calibri"/>
          <w:b w:val="0"/>
          <w:i w:val="0"/>
          <w:sz w:val="20"/>
        </w:rPr>
        <w:t>Recommendation: InspectPoint (inspectpoint.com) — purpose-built for fire protection, AI-native, 15,000+ pros, 4.5M inspections processed.</w:t>
        <w:br/>
        <w:t>Saves 15–20 minutes per inspection. Customer portal included. Cost: ~$200–$400/month.</w:t>
      </w:r>
    </w:p>
    <w:p>
      <w:pPr>
        <w:spacing w:before="120"/>
      </w:pPr>
      <w:r>
        <w:rPr>
          <w:rFonts w:ascii="Georgia" w:hAnsi="Georgia"/>
          <w:b/>
          <w:color w:val="1B2A3D"/>
          <w:sz w:val="22"/>
        </w:rPr>
        <w:t>Step 3 — Price Your Contracts (Month 2)</w:t>
      </w:r>
    </w:p>
    <w:p>
      <w:r>
        <w:rPr>
          <w:rFonts w:ascii="Calibri" w:hAnsi="Calibri"/>
          <w:b w:val="0"/>
          <w:i w:val="0"/>
          <w:sz w:val="20"/>
        </w:rPr>
        <w:t>Target gross margin: 65–75%. Calculate cost per building (labor + vehicle + monitoring + software overhead + 20% overhead allocation). Work backward to monthly price.</w:t>
      </w:r>
    </w:p>
    <w:p>
      <w:pPr>
        <w:spacing w:before="120"/>
      </w:pPr>
      <w:r>
        <w:rPr>
          <w:rFonts w:ascii="Georgia" w:hAnsi="Georgia"/>
          <w:b/>
          <w:color w:val="1B2A3D"/>
          <w:sz w:val="22"/>
        </w:rPr>
        <w:t>Step 4 — The Conversion Play (Month 1–6)</w:t>
      </w:r>
    </w:p>
    <w:p>
      <w:r>
        <w:rPr>
          <w:rFonts w:ascii="Calibri" w:hAnsi="Calibri"/>
          <w:b w:val="0"/>
          <w:i w:val="0"/>
          <w:sz w:val="20"/>
        </w:rPr>
        <w:t>Pull every GFS job completed in the last 7 years. For each building with no service contract: assign to Sales Rep → call script → email follow-up within 2 hours → follow up in 3 business days.</w:t>
        <w:br/>
        <w:t>Conversion target: 25–35% of outreach in first 90 days. Close rate after proposal: 40–50%.</w:t>
      </w:r>
    </w:p>
    <w:p>
      <w:pPr>
        <w:spacing w:before="120"/>
      </w:pPr>
      <w:r>
        <w:rPr>
          <w:rFonts w:ascii="Georgia" w:hAnsi="Georgia"/>
          <w:b/>
          <w:color w:val="1B2A3D"/>
          <w:sz w:val="22"/>
        </w:rPr>
        <w:t>Step 5 — New Install Policy (Permanent)</w:t>
      </w:r>
    </w:p>
    <w:p>
      <w:r>
        <w:rPr>
          <w:rFonts w:ascii="Calibri" w:hAnsi="Calibri"/>
          <w:b w:val="0"/>
          <w:i w:val="0"/>
          <w:sz w:val="20"/>
        </w:rPr>
        <w:t>Every new install leaves with a SafeGuard agreement signed at close. Close rate on new installs: 60–70% (they trust you, you're already there).</w:t>
      </w:r>
    </w:p>
    <w:p>
      <w:pPr>
        <w:pBdr>
          <w:bottom w:val="single" w:sz="6" w:space="1" w:color="1B2A3D"/>
        </w:pBdr>
        <w:spacing w:before="40" w:after="120"/>
      </w:pPr>
    </w:p>
    <w:p>
      <w:r>
        <w:rPr>
          <w:rFonts w:ascii="Georgia" w:hAnsi="Georgia"/>
          <w:b/>
          <w:color w:val="1B2A3D"/>
          <w:sz w:val="32"/>
        </w:rPr>
        <w:t>PART 4: REVENUE PROJECTIONS — THREE SCENARIOS</w:t>
      </w:r>
    </w:p>
    <w:p/>
    <w:p>
      <w:r>
        <w:rPr>
          <w:rFonts w:ascii="Georgia" w:hAnsi="Georgia"/>
          <w:b/>
          <w:color w:val="1B2A3D"/>
          <w:sz w:val="24"/>
        </w:rPr>
        <w:t>SCENARIO 1: CONSERVATIVE</w:t>
      </w:r>
      <w:r>
        <w:rPr>
          <w:rFonts w:ascii="Calibri" w:hAnsi="Calibri"/>
          <w:i/>
          <w:color w:val="666666"/>
          <w:sz w:val="20"/>
        </w:rPr>
        <w:t xml:space="preserve">  —  10% organic growth, no acquisitions — "The Floor"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70809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814"/>
            <w:shd w:val="clear" w:color="auto" w:fill="70809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Accounts</w:t>
            </w:r>
          </w:p>
        </w:tc>
        <w:tc>
          <w:tcPr>
            <w:tcW w:type="dxa" w:w="1814"/>
            <w:shd w:val="clear" w:color="auto" w:fill="70809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ITM Revenue</w:t>
            </w:r>
          </w:p>
        </w:tc>
        <w:tc>
          <w:tcPr>
            <w:tcW w:type="dxa" w:w="1814"/>
            <w:shd w:val="clear" w:color="auto" w:fill="70809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Annual ITM Revenue</w:t>
            </w:r>
          </w:p>
        </w:tc>
        <w:tc>
          <w:tcPr>
            <w:tcW w:type="dxa" w:w="1814"/>
            <w:shd w:val="clear" w:color="auto" w:fill="70809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% of Total Revenue</w:t>
            </w:r>
          </w:p>
        </w:tc>
      </w:tr>
      <w:tr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Month 6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$17,500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$210,000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~1%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Month 12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$28,000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$336,000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~1.5%</w:t>
            </w:r>
          </w:p>
        </w:tc>
      </w:tr>
      <w:tr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Month 24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120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$42,000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$504,000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~2%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Month 36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160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$56,000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$672,000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~2.5%</w:t>
            </w:r>
          </w:p>
        </w:tc>
      </w:tr>
    </w:tbl>
    <w:p>
      <w:pPr>
        <w:spacing w:before="40"/>
      </w:pPr>
      <w:r>
        <w:rPr>
          <w:rFonts w:ascii="Calibri" w:hAnsi="Calibri"/>
          <w:i/>
          <w:color w:val="C9A84C"/>
          <w:sz w:val="18"/>
        </w:rPr>
        <w:t>★  Year 5 refi valuation: ~$28M (4.5–5x EBITDA)</w:t>
      </w:r>
    </w:p>
    <w:p/>
    <w:p>
      <w:r>
        <w:rPr>
          <w:rFonts w:ascii="Georgia" w:hAnsi="Georgia"/>
          <w:b/>
          <w:color w:val="1B2A3D"/>
          <w:sz w:val="24"/>
        </w:rPr>
        <w:t>SCENARIO 2: BASE CASE</w:t>
      </w:r>
      <w:r>
        <w:rPr>
          <w:rFonts w:ascii="Calibri" w:hAnsi="Calibri"/>
          <w:i/>
          <w:color w:val="666666"/>
          <w:sz w:val="20"/>
        </w:rPr>
        <w:t xml:space="preserve">  —  Focused execution + 1 tuck-in acquisition — "The Target"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814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Accounts</w:t>
            </w:r>
          </w:p>
        </w:tc>
        <w:tc>
          <w:tcPr>
            <w:tcW w:type="dxa" w:w="1814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ITM Revenue</w:t>
            </w:r>
          </w:p>
        </w:tc>
        <w:tc>
          <w:tcPr>
            <w:tcW w:type="dxa" w:w="1814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Annual ITM Revenue</w:t>
            </w:r>
          </w:p>
        </w:tc>
        <w:tc>
          <w:tcPr>
            <w:tcW w:type="dxa" w:w="1814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% of Total Revenue</w:t>
            </w:r>
          </w:p>
        </w:tc>
      </w:tr>
      <w:tr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Month 6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75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$26,250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$315,000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~1.5%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Month 12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$52,500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$630,000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~3%</w:t>
            </w:r>
          </w:p>
        </w:tc>
      </w:tr>
      <w:tr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Month 24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$105,000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$1,260,000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~5%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Month 36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$175,000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$2,100,000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~8%</w:t>
            </w:r>
          </w:p>
        </w:tc>
      </w:tr>
    </w:tbl>
    <w:p>
      <w:pPr>
        <w:spacing w:before="40"/>
      </w:pPr>
      <w:r>
        <w:rPr>
          <w:rFonts w:ascii="Calibri" w:hAnsi="Calibri"/>
          <w:i/>
          <w:color w:val="C9A84C"/>
          <w:sz w:val="18"/>
        </w:rPr>
        <w:t>★  Company revenue ~$30M by Year 3  |  Year 5 refi valuation: ~$35–40M (5.5–6x)</w:t>
      </w:r>
    </w:p>
    <w:p/>
    <w:p>
      <w:r>
        <w:rPr>
          <w:rFonts w:ascii="Georgia" w:hAnsi="Georgia"/>
          <w:b/>
          <w:color w:val="1B2A3D"/>
          <w:sz w:val="24"/>
        </w:rPr>
        <w:t>SCENARIO 3: REACH</w:t>
      </w:r>
      <w:r>
        <w:rPr>
          <w:rFonts w:ascii="Calibri" w:hAnsi="Calibri"/>
          <w:i/>
          <w:color w:val="666666"/>
          <w:sz w:val="20"/>
        </w:rPr>
        <w:t xml:space="preserve">  —  Aggressive execution + 2 acquisitions — "Step on It"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B8733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814"/>
            <w:shd w:val="clear" w:color="auto" w:fill="B8733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Accounts</w:t>
            </w:r>
          </w:p>
        </w:tc>
        <w:tc>
          <w:tcPr>
            <w:tcW w:type="dxa" w:w="1814"/>
            <w:shd w:val="clear" w:color="auto" w:fill="B8733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Monthly ITM Revenue</w:t>
            </w:r>
          </w:p>
        </w:tc>
        <w:tc>
          <w:tcPr>
            <w:tcW w:type="dxa" w:w="1814"/>
            <w:shd w:val="clear" w:color="auto" w:fill="B8733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Annual ITM Revenue</w:t>
            </w:r>
          </w:p>
        </w:tc>
        <w:tc>
          <w:tcPr>
            <w:tcW w:type="dxa" w:w="1814"/>
            <w:shd w:val="clear" w:color="auto" w:fill="B8733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% of Total Revenue</w:t>
            </w:r>
          </w:p>
        </w:tc>
      </w:tr>
      <w:tr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Month 6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$35,000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$420,000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~2%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Month 12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250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$87,500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$1,050,000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~5%</w:t>
            </w:r>
          </w:p>
        </w:tc>
      </w:tr>
      <w:tr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Month 24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$175,000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$2,100,000</w:t>
            </w:r>
          </w:p>
        </w:tc>
        <w:tc>
          <w:tcPr>
            <w:tcW w:type="dxa" w:w="1814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~8%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Month 36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900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$315,000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$3,780,000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~13%</w:t>
            </w:r>
          </w:p>
        </w:tc>
      </w:tr>
    </w:tbl>
    <w:p>
      <w:pPr>
        <w:spacing w:before="40"/>
      </w:pPr>
      <w:r>
        <w:rPr>
          <w:rFonts w:ascii="Calibri" w:hAnsi="Calibri"/>
          <w:i/>
          <w:color w:val="C9A84C"/>
          <w:sz w:val="18"/>
        </w:rPr>
        <w:t>★  Company revenue ~$38–42M by Year 3  |  Year 5 refi valuation: ~$50–60M (6.5–7x)</w:t>
      </w:r>
    </w:p>
    <w:p>
      <w:pPr>
        <w:pBdr>
          <w:bottom w:val="single" w:sz="6" w:space="1" w:color="1B2A3D"/>
        </w:pBdr>
        <w:spacing w:before="40" w:after="120"/>
      </w:pPr>
    </w:p>
    <w:p>
      <w:r>
        <w:rPr>
          <w:rFonts w:ascii="Georgia" w:hAnsi="Georgia"/>
          <w:b/>
          <w:color w:val="1B2A3D"/>
          <w:sz w:val="32"/>
        </w:rPr>
        <w:t>PART 5: THE VALUATION IMPACT</w:t>
      </w:r>
    </w:p>
    <w:p>
      <w:r>
        <w:rPr>
          <w:rFonts w:ascii="Calibri" w:hAnsi="Calibri"/>
          <w:b/>
          <w:i w:val="0"/>
          <w:color w:val="333333"/>
          <w:sz w:val="22"/>
        </w:rPr>
        <w:t>Why Recurring Revenue Changes the Multiple — Same Earnings. Different Story. Different Price.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Revenue Type</w:t>
            </w:r>
          </w:p>
        </w:tc>
        <w:tc>
          <w:tcPr>
            <w:tcW w:type="dxa" w:w="226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EBITDA Multiple</w:t>
            </w:r>
          </w:p>
        </w:tc>
        <w:tc>
          <w:tcPr>
            <w:tcW w:type="dxa" w:w="226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 $5M EBITDA</w:t>
            </w:r>
          </w:p>
        </w:tc>
        <w:tc>
          <w:tcPr>
            <w:tcW w:type="dxa" w:w="226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Company Value</w:t>
            </w:r>
          </w:p>
        </w:tc>
      </w:tr>
      <w:tr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Pure construction</w:t>
            </w:r>
          </w:p>
        </w:tc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4x</w:t>
            </w:r>
          </w:p>
        </w:tc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$5M</w:t>
            </w:r>
          </w:p>
        </w:tc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$20M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sz w:val="18"/>
              </w:rPr>
              <w:t>Mixed (some ITM)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sz w:val="18"/>
              </w:rPr>
              <w:t>5.5x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sz w:val="18"/>
              </w:rPr>
              <w:t>$5M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sz w:val="18"/>
              </w:rPr>
              <w:t>$27.5M</w:t>
            </w:r>
          </w:p>
        </w:tc>
      </w:tr>
      <w:tr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Strong ITM (20%+)</w:t>
            </w:r>
          </w:p>
        </w:tc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7x</w:t>
            </w:r>
          </w:p>
        </w:tc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$5M</w:t>
            </w:r>
          </w:p>
        </w:tc>
        <w:tc>
          <w:tcPr>
            <w:tcW w:type="dxa" w:w="2268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$35M</w:t>
            </w:r>
          </w:p>
        </w:tc>
      </w:tr>
      <w:tr>
        <w:tc>
          <w:tcPr>
            <w:tcW w:type="dxa" w:w="2268"/>
            <w:shd w:val="clear" w:color="auto" w:fill="C9A84C"/>
          </w:tcPr>
          <w:p>
            <w:r>
              <w:rPr>
                <w:rFonts w:ascii="Calibri" w:hAnsi="Calibri"/>
                <w:b/>
                <w:color w:val="1B2A3D"/>
                <w:sz w:val="18"/>
              </w:rPr>
              <w:t>High ITM (40%+)</w:t>
            </w:r>
          </w:p>
        </w:tc>
        <w:tc>
          <w:tcPr>
            <w:tcW w:type="dxa" w:w="2268"/>
            <w:shd w:val="clear" w:color="auto" w:fill="C9A84C"/>
          </w:tcPr>
          <w:p>
            <w:r>
              <w:rPr>
                <w:rFonts w:ascii="Calibri" w:hAnsi="Calibri"/>
                <w:b/>
                <w:color w:val="1B2A3D"/>
                <w:sz w:val="18"/>
              </w:rPr>
              <w:t>9x</w:t>
            </w:r>
          </w:p>
        </w:tc>
        <w:tc>
          <w:tcPr>
            <w:tcW w:type="dxa" w:w="2268"/>
            <w:shd w:val="clear" w:color="auto" w:fill="C9A84C"/>
          </w:tcPr>
          <w:p>
            <w:r>
              <w:rPr>
                <w:rFonts w:ascii="Calibri" w:hAnsi="Calibri"/>
                <w:b/>
                <w:color w:val="1B2A3D"/>
                <w:sz w:val="18"/>
              </w:rPr>
              <w:t>$5M</w:t>
            </w:r>
          </w:p>
        </w:tc>
        <w:tc>
          <w:tcPr>
            <w:tcW w:type="dxa" w:w="2268"/>
            <w:shd w:val="clear" w:color="auto" w:fill="C9A84C"/>
          </w:tcPr>
          <w:p>
            <w:r>
              <w:rPr>
                <w:rFonts w:ascii="Calibri" w:hAnsi="Calibri"/>
                <w:b/>
                <w:color w:val="1B2A3D"/>
                <w:sz w:val="18"/>
              </w:rPr>
              <w:t>$45M</w:t>
            </w:r>
          </w:p>
        </w:tc>
      </w:tr>
    </w:tbl>
    <w:p/>
    <w:p>
      <w:r>
        <w:rPr>
          <w:rFonts w:ascii="Calibri" w:hAnsi="Calibri"/>
          <w:b/>
          <w:i w:val="0"/>
          <w:color w:val="1B2A3D"/>
          <w:sz w:val="22"/>
        </w:rPr>
        <w:t>Woody's 18% — Year 5 Exit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512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Year 5 Revenue</w:t>
            </w:r>
          </w:p>
        </w:tc>
        <w:tc>
          <w:tcPr>
            <w:tcW w:type="dxa" w:w="1512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EBITDA</w:t>
            </w:r>
          </w:p>
        </w:tc>
        <w:tc>
          <w:tcPr>
            <w:tcW w:type="dxa" w:w="1512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Multiple</w:t>
            </w:r>
          </w:p>
        </w:tc>
        <w:tc>
          <w:tcPr>
            <w:tcW w:type="dxa" w:w="1512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Company Value</w:t>
            </w:r>
          </w:p>
        </w:tc>
        <w:tc>
          <w:tcPr>
            <w:tcW w:type="dxa" w:w="1512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Woody's 18%</w:t>
            </w:r>
          </w:p>
        </w:tc>
      </w:tr>
      <w:tr>
        <w:tc>
          <w:tcPr>
            <w:tcW w:type="dxa" w:w="1512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Conservative</w:t>
            </w:r>
          </w:p>
        </w:tc>
        <w:tc>
          <w:tcPr>
            <w:tcW w:type="dxa" w:w="1512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$28M</w:t>
            </w:r>
          </w:p>
        </w:tc>
        <w:tc>
          <w:tcPr>
            <w:tcW w:type="dxa" w:w="1512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$4.5M</w:t>
            </w:r>
          </w:p>
        </w:tc>
        <w:tc>
          <w:tcPr>
            <w:tcW w:type="dxa" w:w="1512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5x</w:t>
            </w:r>
          </w:p>
        </w:tc>
        <w:tc>
          <w:tcPr>
            <w:tcW w:type="dxa" w:w="1512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$22.5M</w:t>
            </w:r>
          </w:p>
        </w:tc>
        <w:tc>
          <w:tcPr>
            <w:tcW w:type="dxa" w:w="1512"/>
            <w:shd w:val="clear" w:color="auto" w:fill="F5F0E8"/>
          </w:tcPr>
          <w:p>
            <w:r>
              <w:rPr>
                <w:rFonts w:ascii="Calibri" w:hAnsi="Calibri"/>
                <w:b w:val="0"/>
                <w:sz w:val="18"/>
              </w:rPr>
              <w:t>$4.0M</w:t>
            </w:r>
          </w:p>
        </w:tc>
      </w:tr>
      <w:tr>
        <w:tc>
          <w:tcPr>
            <w:tcW w:type="dxa" w:w="1512"/>
          </w:tcPr>
          <w:p>
            <w:r>
              <w:rPr>
                <w:rFonts w:ascii="Calibri" w:hAnsi="Calibri"/>
                <w:b w:val="0"/>
                <w:sz w:val="18"/>
              </w:rPr>
              <w:t>Base Case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b w:val="0"/>
                <w:sz w:val="18"/>
              </w:rPr>
              <w:t>$38M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b w:val="0"/>
                <w:sz w:val="18"/>
              </w:rPr>
              <w:t>$6.5M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b w:val="0"/>
                <w:sz w:val="18"/>
              </w:rPr>
              <w:t>6x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b w:val="0"/>
                <w:sz w:val="18"/>
              </w:rPr>
              <w:t>$39M</w:t>
            </w:r>
          </w:p>
        </w:tc>
        <w:tc>
          <w:tcPr>
            <w:tcW w:type="dxa" w:w="1512"/>
          </w:tcPr>
          <w:p>
            <w:r>
              <w:rPr>
                <w:rFonts w:ascii="Calibri" w:hAnsi="Calibri"/>
                <w:b w:val="0"/>
                <w:sz w:val="18"/>
              </w:rPr>
              <w:t>$7.0M</w:t>
            </w:r>
          </w:p>
        </w:tc>
      </w:tr>
      <w:tr>
        <w:tc>
          <w:tcPr>
            <w:tcW w:type="dxa" w:w="1512"/>
            <w:shd w:val="clear" w:color="auto" w:fill="C9A84C"/>
          </w:tcPr>
          <w:p>
            <w:r>
              <w:rPr>
                <w:rFonts w:ascii="Calibri" w:hAnsi="Calibri"/>
                <w:b/>
                <w:color w:val="1B2A3D"/>
                <w:sz w:val="18"/>
              </w:rPr>
              <w:t>Reach</w:t>
            </w:r>
          </w:p>
        </w:tc>
        <w:tc>
          <w:tcPr>
            <w:tcW w:type="dxa" w:w="1512"/>
            <w:shd w:val="clear" w:color="auto" w:fill="C9A84C"/>
          </w:tcPr>
          <w:p>
            <w:r>
              <w:rPr>
                <w:rFonts w:ascii="Calibri" w:hAnsi="Calibri"/>
                <w:b/>
                <w:color w:val="1B2A3D"/>
                <w:sz w:val="18"/>
              </w:rPr>
              <w:t>$50M</w:t>
            </w:r>
          </w:p>
        </w:tc>
        <w:tc>
          <w:tcPr>
            <w:tcW w:type="dxa" w:w="1512"/>
            <w:shd w:val="clear" w:color="auto" w:fill="C9A84C"/>
          </w:tcPr>
          <w:p>
            <w:r>
              <w:rPr>
                <w:rFonts w:ascii="Calibri" w:hAnsi="Calibri"/>
                <w:b/>
                <w:color w:val="1B2A3D"/>
                <w:sz w:val="18"/>
              </w:rPr>
              <w:t>$9M</w:t>
            </w:r>
          </w:p>
        </w:tc>
        <w:tc>
          <w:tcPr>
            <w:tcW w:type="dxa" w:w="1512"/>
            <w:shd w:val="clear" w:color="auto" w:fill="C9A84C"/>
          </w:tcPr>
          <w:p>
            <w:r>
              <w:rPr>
                <w:rFonts w:ascii="Calibri" w:hAnsi="Calibri"/>
                <w:b/>
                <w:color w:val="1B2A3D"/>
                <w:sz w:val="18"/>
              </w:rPr>
              <w:t>7x</w:t>
            </w:r>
          </w:p>
        </w:tc>
        <w:tc>
          <w:tcPr>
            <w:tcW w:type="dxa" w:w="1512"/>
            <w:shd w:val="clear" w:color="auto" w:fill="C9A84C"/>
          </w:tcPr>
          <w:p>
            <w:r>
              <w:rPr>
                <w:rFonts w:ascii="Calibri" w:hAnsi="Calibri"/>
                <w:b/>
                <w:color w:val="1B2A3D"/>
                <w:sz w:val="18"/>
              </w:rPr>
              <w:t>$63M</w:t>
            </w:r>
          </w:p>
        </w:tc>
        <w:tc>
          <w:tcPr>
            <w:tcW w:type="dxa" w:w="1512"/>
            <w:shd w:val="clear" w:color="auto" w:fill="C9A84C"/>
          </w:tcPr>
          <w:p>
            <w:r>
              <w:rPr>
                <w:rFonts w:ascii="Calibri" w:hAnsi="Calibri"/>
                <w:b/>
                <w:color w:val="1B2A3D"/>
                <w:sz w:val="18"/>
              </w:rPr>
              <w:t>$11.3M</w:t>
            </w:r>
          </w:p>
        </w:tc>
      </w:tr>
    </w:tbl>
    <w:p/>
    <w:p>
      <w:r>
        <w:rPr>
          <w:rFonts w:ascii="Calibri" w:hAnsi="Calibri"/>
          <w:b/>
          <w:i w:val="0"/>
          <w:color w:val="1B2A3D"/>
          <w:sz w:val="22"/>
        </w:rPr>
        <w:t>Woody's 18% in the reach scenario = $11.3 million at Year 5 exit. That's on top of the $8.2M cash at close + $2.3M in seller note payments.</w:t>
        <w:br/>
        <w:t>Total: $21.8M in the base case.  $29.4M in the reach scenario.</w:t>
      </w:r>
    </w:p>
    <w:p>
      <w:pPr>
        <w:pBdr>
          <w:bottom w:val="single" w:sz="6" w:space="1" w:color="1B2A3D"/>
        </w:pBdr>
        <w:spacing w:before="40" w:after="120"/>
      </w:pPr>
    </w:p>
    <w:p>
      <w:pPr>
        <w:jc w:val="center"/>
      </w:pPr>
      <w:r>
        <w:rPr>
          <w:rFonts w:ascii="Calibri" w:hAnsi="Calibri"/>
          <w:b w:val="0"/>
          <w:i/>
          <w:color w:val="666666"/>
          <w:sz w:val="16"/>
        </w:rPr>
        <w:t>GFS Fire Pros | Viking 90 Group | One Buck Capital — CONFIDENTIAL | Not for Distribution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