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912"/>
        <w:gridCol w:w="2880"/>
      </w:tblGrid>
      <w:tr>
        <w:tc>
          <w:tcPr>
            <w:tcW w:type="dxa" w:w="4896"/>
            <w:shd w:val="clear" w:color="auto" w:fill="1B2A3D"/>
            <w:vAlign w:val="center"/>
          </w:tcPr>
          <w:p>
            <w:pPr>
              <w:spacing w:before="160" w:after="40"/>
              <w:ind w:left="216"/>
              <w:jc w:val="left"/>
            </w:pPr>
            <w:r>
              <w:rPr>
                <w:rFonts w:ascii="Georgia" w:hAnsi="Georgia"/>
                <w:b/>
                <w:i w:val="0"/>
                <w:color w:val="C9A84C"/>
                <w:sz w:val="26"/>
              </w:rPr>
              <w:t>ONE BUCK CAPITAL</w:t>
            </w:r>
          </w:p>
          <w:p>
            <w:pPr>
              <w:spacing w:before="0" w:after="160"/>
              <w:ind w:left="216"/>
              <w:jc w:val="left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GFS DFW FIRE PROS — GROWTH VISION</w:t>
            </w:r>
          </w:p>
        </w:tc>
        <w:tc>
          <w:tcPr>
            <w:tcW w:type="dxa" w:w="4896"/>
            <w:shd w:val="clear" w:color="auto" w:fill="1B2A3D"/>
            <w:vAlign w:val="center"/>
          </w:tcPr>
          <w:p>
            <w:pPr>
              <w:spacing w:before="160" w:after="160"/>
              <w:ind w:right="216"/>
              <w:jc w:val="right"/>
            </w:pPr>
            <w:r>
              <w:rPr>
                <w:rFonts w:ascii="Arial" w:hAnsi="Arial"/>
                <w:b/>
                <w:i w:val="0"/>
                <w:color w:val="C9A84C"/>
                <w:sz w:val="16"/>
              </w:rPr>
              <w:t>⚠ CONFIDENTIAL</w:t>
            </w:r>
            <w:r>
              <w:rPr>
                <w:rFonts w:ascii="Arial" w:hAnsi="Arial"/>
                <w:b w:val="0"/>
                <w:color w:val="FFFFFF"/>
                <w:sz w:val="14"/>
              </w:rPr>
              <w:br/>
              <w:t>JB BOUCK — EYES ONLY</w:t>
            </w:r>
          </w:p>
        </w:tc>
      </w:tr>
    </w:tbl>
    <w:p/>
    <w:p>
      <w:pPr>
        <w:jc w:val="center"/>
        <w:spacing w:before="80" w:after="40"/>
      </w:pPr>
      <w:r>
        <w:rPr>
          <w:rFonts w:ascii="Georgia" w:hAnsi="Georgia"/>
          <w:b/>
          <w:i w:val="0"/>
          <w:color w:val="1B2A3D"/>
          <w:sz w:val="34"/>
        </w:rPr>
        <w:t>"Here's What I'm Going to Do With What You Built"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C9A84C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4"/>
              </w:rPr>
              <w:t xml:space="preserve">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5F0E8"/>
            <w:tcBorders>
              <w:top w:val="none" w:sz="4" w:space="0" w:color="auto"/>
              <w:bottom w:val="none" w:sz="4" w:space="0" w:color="auto"/>
              <w:left w:val="single" w:sz="16" w:space="0" w:color="C9A84C"/>
              <w:right w:val="none" w:sz="4" w:space="0" w:color="auto"/>
            </w:tcBorders>
          </w:tcPr>
          <w:p>
            <w:pPr>
              <w:spacing w:before="160" w:after="60"/>
              <w:ind w:left="216"/>
            </w:pPr>
            <w:r>
              <w:rPr>
                <w:rFonts w:ascii="Arial" w:hAnsi="Arial"/>
                <w:b/>
                <w:i w:val="0"/>
                <w:color w:val="C9A84C"/>
                <w:sz w:val="16"/>
              </w:rPr>
              <w:t>HOW TO USE THIS</w:t>
            </w:r>
          </w:p>
          <w:p>
            <w:pPr>
              <w:spacing w:before="0" w:after="160"/>
              <w:ind w:left="216"/>
            </w:pP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Use this AFTER Woody says yes to the deal structure. This is the vision. Deliver it as a conversation, not a pitch. Under 3 minutes.</w:t>
            </w:r>
          </w:p>
        </w:tc>
      </w:tr>
    </w:tbl>
    <w:p/>
    <w:p>
      <w:pPr>
        <w:spacing w:before="40" w:after="20"/>
      </w:pPr>
      <w:r>
        <w:rPr>
          <w:rFonts w:ascii="Arial" w:hAnsi="Arial"/>
          <w:b/>
          <w:i w:val="0"/>
          <w:color w:val="C9A84C"/>
          <w:sz w:val="16"/>
        </w:rPr>
        <w:t>OPEN WITH THIS</w:t>
      </w:r>
    </w:p>
    <w:p>
      <w:pPr>
        <w:spacing w:before="0" w:after="120"/>
        <w:ind w:left="144"/>
      </w:pPr>
      <w:r>
        <w:rPr>
          <w:rFonts w:ascii="Georgia" w:hAnsi="Georgia"/>
          <w:b w:val="0"/>
          <w:i/>
          <w:color w:val="1B2A3D"/>
          <w:sz w:val="21"/>
        </w:rPr>
        <w:t xml:space="preserve">"Woody, GFS is already a great business. 34% growth last year. $19M in revenue. Zero debt. </w:t>
      </w:r>
      <w:r>
        <w:rPr>
          <w:rFonts w:ascii="Georgia" w:hAnsi="Georgia"/>
          <w:b/>
          <w:i/>
          <w:color w:val="1B2A3D"/>
          <w:sz w:val="21"/>
        </w:rPr>
        <w:t>You built something real.</w:t>
      </w:r>
      <w:r>
        <w:rPr>
          <w:rFonts w:ascii="Georgia" w:hAnsi="Georgia"/>
          <w:b w:val="0"/>
          <w:i/>
          <w:color w:val="1B2A3D"/>
          <w:sz w:val="21"/>
        </w:rPr>
        <w:t xml:space="preserve"> What I'm going to do is take what you built and turn it into something even bigger — and your 18% equity rides with every dollar of that."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9000"/>
      </w:tblGrid>
      <w:tr>
        <w:tc>
          <w:tcPr>
            <w:tcW w:type="dxa" w:w="4896"/>
            <w:shd w:val="clear" w:color="auto" w:fill="1B2A3D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Georgia" w:hAnsi="Georgia"/>
                <w:b/>
                <w:i w:val="0"/>
                <w:color w:val="C9A84C"/>
                <w:sz w:val="28"/>
              </w:rPr>
              <w:t>01</w:t>
            </w:r>
          </w:p>
        </w:tc>
        <w:tc>
          <w:tcPr>
            <w:tcW w:type="dxa" w:w="4896"/>
            <w:shd w:val="clear" w:color="auto" w:fill="1B2A3D"/>
            <w:vAlign w:val="center"/>
          </w:tcPr>
          <w:p>
            <w:pPr>
              <w:spacing w:before="120" w:after="40"/>
              <w:ind w:left="173"/>
            </w:pPr>
            <w:r>
              <w:rPr>
                <w:rFonts w:ascii="Arial" w:hAnsi="Arial"/>
                <w:b/>
                <w:i w:val="0"/>
                <w:color w:val="C9A84C"/>
                <w:sz w:val="16"/>
              </w:rPr>
              <w:t xml:space="preserve">MOVE 1   </w:t>
            </w:r>
            <w:r>
              <w:rPr>
                <w:rFonts w:ascii="Georgia" w:hAnsi="Georgia"/>
                <w:b/>
                <w:i w:val="0"/>
                <w:color w:val="FFFFFF"/>
                <w:sz w:val="26"/>
              </w:rPr>
              <w:t>Unlock the Hidden Revenue</w:t>
            </w:r>
          </w:p>
        </w:tc>
      </w:tr>
    </w:tbl>
    <w:p>
      <w:pPr>
        <w:pStyle w:val="ListBullet"/>
        <w:spacing w:before="40" w:after="40"/>
        <w:ind w:left="432" w:hanging="259"/>
      </w:pPr>
      <w:r>
        <w:rPr>
          <w:rFonts w:ascii="Arial" w:hAnsi="Arial"/>
          <w:b w:val="0"/>
          <w:i w:val="0"/>
          <w:color w:val="C9A84C"/>
          <w:sz w:val="20"/>
        </w:rPr>
        <w:t xml:space="preserve">→  </w:t>
      </w:r>
      <w:r>
        <w:rPr>
          <w:rFonts w:ascii="Arial" w:hAnsi="Arial"/>
          <w:b w:val="0"/>
          <w:i w:val="0"/>
          <w:color w:val="333333"/>
          <w:sz w:val="20"/>
        </w:rPr>
        <w:t>Less than 10% of GFS revenue comes from inspections &amp; monitoring today.</w:t>
      </w:r>
    </w:p>
    <w:p>
      <w:pPr>
        <w:pStyle w:val="ListBullet"/>
        <w:spacing w:before="40" w:after="40"/>
        <w:ind w:left="432" w:hanging="259"/>
      </w:pPr>
      <w:r>
        <w:rPr>
          <w:rFonts w:ascii="Arial" w:hAnsi="Arial"/>
          <w:b w:val="0"/>
          <w:i w:val="0"/>
          <w:color w:val="C9A84C"/>
          <w:sz w:val="20"/>
        </w:rPr>
        <w:t xml:space="preserve">→  </w:t>
      </w:r>
      <w:r>
        <w:rPr>
          <w:rFonts w:ascii="Arial" w:hAnsi="Arial"/>
          <w:b w:val="0"/>
          <w:i w:val="0"/>
          <w:color w:val="333333"/>
          <w:sz w:val="20"/>
        </w:rPr>
        <w:t>Every building you've ever put a system in is required by law to get inspected annually.</w:t>
      </w:r>
    </w:p>
    <w:p>
      <w:pPr>
        <w:pStyle w:val="ListBullet"/>
        <w:spacing w:before="40" w:after="40"/>
        <w:ind w:left="432" w:hanging="259"/>
      </w:pPr>
      <w:r>
        <w:rPr>
          <w:rFonts w:ascii="Arial" w:hAnsi="Arial"/>
          <w:b w:val="0"/>
          <w:i w:val="0"/>
          <w:color w:val="C9A84C"/>
          <w:sz w:val="20"/>
        </w:rPr>
        <w:t xml:space="preserve">→  </w:t>
      </w:r>
      <w:r>
        <w:rPr>
          <w:rFonts w:ascii="Arial" w:hAnsi="Arial"/>
          <w:b w:val="0"/>
          <w:i w:val="0"/>
          <w:color w:val="333333"/>
          <w:sz w:val="20"/>
        </w:rPr>
        <w:t>Those are your customers — and they're paying someone else right now.</w:t>
      </w:r>
    </w:p>
    <w:p>
      <w:pPr>
        <w:pStyle w:val="ListBullet"/>
        <w:spacing w:before="40" w:after="40"/>
        <w:ind w:left="432" w:hanging="259"/>
      </w:pPr>
      <w:r>
        <w:rPr>
          <w:rFonts w:ascii="Arial" w:hAnsi="Arial"/>
          <w:b w:val="0"/>
          <w:i w:val="0"/>
          <w:color w:val="C9A84C"/>
          <w:sz w:val="20"/>
        </w:rPr>
        <w:t xml:space="preserve">→  </w:t>
      </w:r>
      <w:r>
        <w:rPr>
          <w:rFonts w:ascii="Arial" w:hAnsi="Arial"/>
          <w:b w:val="0"/>
          <w:i w:val="0"/>
          <w:color w:val="333333"/>
          <w:sz w:val="20"/>
        </w:rPr>
        <w:t>Target: 25% of revenue from recurring service within 3 years.</w:t>
      </w:r>
    </w:p>
    <w:p>
      <w:pPr>
        <w:pStyle w:val="ListBullet"/>
        <w:spacing w:before="40" w:after="40"/>
        <w:ind w:left="432" w:hanging="259"/>
      </w:pPr>
      <w:r>
        <w:rPr>
          <w:rFonts w:ascii="Arial" w:hAnsi="Arial"/>
          <w:b w:val="0"/>
          <w:i w:val="0"/>
          <w:color w:val="C9A84C"/>
          <w:sz w:val="20"/>
        </w:rPr>
        <w:t xml:space="preserve">→  </w:t>
      </w:r>
      <w:r>
        <w:rPr>
          <w:rFonts w:ascii="Arial" w:hAnsi="Arial"/>
          <w:b w:val="0"/>
          <w:i w:val="0"/>
          <w:color w:val="333333"/>
          <w:sz w:val="20"/>
        </w:rPr>
        <w:t>That alone re-rates what this company is worth.</w:t>
      </w:r>
    </w:p>
    <w:p>
      <w:pPr>
        <w:spacing w:before="80" w:after="240"/>
        <w:ind w:left="432"/>
      </w:pPr>
      <w:r>
        <w:rPr>
          <w:rFonts w:ascii="Georgia" w:hAnsi="Georgia"/>
          <w:b/>
          <w:i/>
          <w:color w:val="1B2A3D"/>
          <w:sz w:val="20"/>
        </w:rPr>
        <w:t>"We're going to fix that."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9000"/>
      </w:tblGrid>
      <w:tr>
        <w:tc>
          <w:tcPr>
            <w:tcW w:type="dxa" w:w="4896"/>
            <w:shd w:val="clear" w:color="auto" w:fill="1B2A3D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Georgia" w:hAnsi="Georgia"/>
                <w:b/>
                <w:i w:val="0"/>
                <w:color w:val="C9A84C"/>
                <w:sz w:val="28"/>
              </w:rPr>
              <w:t>02</w:t>
            </w:r>
          </w:p>
        </w:tc>
        <w:tc>
          <w:tcPr>
            <w:tcW w:type="dxa" w:w="4896"/>
            <w:shd w:val="clear" w:color="auto" w:fill="1B2A3D"/>
            <w:vAlign w:val="center"/>
          </w:tcPr>
          <w:p>
            <w:pPr>
              <w:spacing w:before="120" w:after="40"/>
              <w:ind w:left="173"/>
            </w:pPr>
            <w:r>
              <w:rPr>
                <w:rFonts w:ascii="Arial" w:hAnsi="Arial"/>
                <w:b/>
                <w:i w:val="0"/>
                <w:color w:val="C9A84C"/>
                <w:sz w:val="16"/>
              </w:rPr>
              <w:t xml:space="preserve">MOVE 2   </w:t>
            </w:r>
            <w:r>
              <w:rPr>
                <w:rFonts w:ascii="Georgia" w:hAnsi="Georgia"/>
                <w:b/>
                <w:i w:val="0"/>
                <w:color w:val="FFFFFF"/>
                <w:sz w:val="26"/>
              </w:rPr>
              <w:t>Grow to $25 Million</w:t>
            </w:r>
          </w:p>
        </w:tc>
      </w:tr>
    </w:tbl>
    <w:p>
      <w:pPr>
        <w:pStyle w:val="ListBullet"/>
        <w:spacing w:before="40" w:after="40"/>
        <w:ind w:left="432" w:hanging="259"/>
      </w:pPr>
      <w:r>
        <w:rPr>
          <w:rFonts w:ascii="Arial" w:hAnsi="Arial"/>
          <w:b w:val="0"/>
          <w:i w:val="0"/>
          <w:color w:val="C9A84C"/>
          <w:sz w:val="20"/>
        </w:rPr>
        <w:t xml:space="preserve">→  </w:t>
      </w:r>
      <w:r>
        <w:rPr>
          <w:rFonts w:ascii="Arial" w:hAnsi="Arial"/>
          <w:b w:val="0"/>
          <w:i w:val="0"/>
          <w:color w:val="333333"/>
          <w:sz w:val="20"/>
        </w:rPr>
        <w:t>With a dedicated service team + focused sales effort, GFS grows to $25M organically.</w:t>
      </w:r>
    </w:p>
    <w:p>
      <w:pPr>
        <w:pStyle w:val="ListBullet"/>
        <w:spacing w:before="40" w:after="40"/>
        <w:ind w:left="432" w:hanging="259"/>
      </w:pPr>
      <w:r>
        <w:rPr>
          <w:rFonts w:ascii="Arial" w:hAnsi="Arial"/>
          <w:b w:val="0"/>
          <w:i w:val="0"/>
          <w:color w:val="C9A84C"/>
          <w:sz w:val="20"/>
        </w:rPr>
        <w:t xml:space="preserve">→  </w:t>
      </w:r>
      <w:r>
        <w:rPr>
          <w:rFonts w:ascii="Arial" w:hAnsi="Arial"/>
          <w:b w:val="0"/>
          <w:i w:val="0"/>
          <w:color w:val="333333"/>
          <w:sz w:val="20"/>
        </w:rPr>
        <w:t>DFW is one of the fastest-growing markets in the country.</w:t>
      </w:r>
    </w:p>
    <w:p>
      <w:pPr>
        <w:pStyle w:val="ListBullet"/>
        <w:spacing w:before="40" w:after="40"/>
        <w:ind w:left="432" w:hanging="259"/>
      </w:pPr>
      <w:r>
        <w:rPr>
          <w:rFonts w:ascii="Arial" w:hAnsi="Arial"/>
          <w:b w:val="0"/>
          <w:i w:val="0"/>
          <w:color w:val="C9A84C"/>
          <w:sz w:val="20"/>
        </w:rPr>
        <w:t xml:space="preserve">→  </w:t>
      </w:r>
      <w:r>
        <w:rPr>
          <w:rFonts w:ascii="Arial" w:hAnsi="Arial"/>
          <w:b w:val="0"/>
          <w:i w:val="0"/>
          <w:color w:val="333333"/>
          <w:sz w:val="20"/>
        </w:rPr>
        <w:t>Data centers, hospitals, commercial builds — you're already in all of it.</w:t>
      </w:r>
    </w:p>
    <w:p>
      <w:pPr>
        <w:pStyle w:val="ListBullet"/>
        <w:spacing w:before="40" w:after="40"/>
        <w:ind w:left="432" w:hanging="259"/>
      </w:pPr>
      <w:r>
        <w:rPr>
          <w:rFonts w:ascii="Arial" w:hAnsi="Arial"/>
          <w:b w:val="0"/>
          <w:i w:val="0"/>
          <w:color w:val="C9A84C"/>
          <w:sz w:val="20"/>
        </w:rPr>
        <w:t xml:space="preserve">→  </w:t>
      </w:r>
      <w:r>
        <w:rPr>
          <w:rFonts w:ascii="Arial" w:hAnsi="Arial"/>
          <w:b w:val="0"/>
          <w:i w:val="0"/>
          <w:color w:val="333333"/>
          <w:sz w:val="20"/>
        </w:rPr>
        <w:t>We just have to show up and sell the service side.</w:t>
      </w:r>
    </w:p>
    <w:p>
      <w:pPr>
        <w:spacing w:before="80" w:after="240"/>
        <w:ind w:left="432"/>
      </w:pPr>
      <w:r>
        <w:rPr>
          <w:rFonts w:ascii="Georgia" w:hAnsi="Georgia"/>
          <w:b/>
          <w:i/>
          <w:color w:val="1B2A3D"/>
          <w:sz w:val="20"/>
        </w:rPr>
        <w:t>"The market is already there. We capture it."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9000"/>
      </w:tblGrid>
      <w:tr>
        <w:tc>
          <w:tcPr>
            <w:tcW w:type="dxa" w:w="4896"/>
            <w:shd w:val="clear" w:color="auto" w:fill="1B2A3D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Georgia" w:hAnsi="Georgia"/>
                <w:b/>
                <w:i w:val="0"/>
                <w:color w:val="C9A84C"/>
                <w:sz w:val="28"/>
              </w:rPr>
              <w:t>03</w:t>
            </w:r>
          </w:p>
        </w:tc>
        <w:tc>
          <w:tcPr>
            <w:tcW w:type="dxa" w:w="4896"/>
            <w:shd w:val="clear" w:color="auto" w:fill="1B2A3D"/>
            <w:vAlign w:val="center"/>
          </w:tcPr>
          <w:p>
            <w:pPr>
              <w:spacing w:before="120" w:after="40"/>
              <w:ind w:left="173"/>
            </w:pPr>
            <w:r>
              <w:rPr>
                <w:rFonts w:ascii="Arial" w:hAnsi="Arial"/>
                <w:b/>
                <w:i w:val="0"/>
                <w:color w:val="C9A84C"/>
                <w:sz w:val="16"/>
              </w:rPr>
              <w:t xml:space="preserve">MOVE 3   </w:t>
            </w:r>
            <w:r>
              <w:rPr>
                <w:rFonts w:ascii="Georgia" w:hAnsi="Georgia"/>
                <w:b/>
                <w:i w:val="0"/>
                <w:color w:val="FFFFFF"/>
                <w:sz w:val="26"/>
              </w:rPr>
              <w:t>Strategic Acquisitions</w:t>
            </w:r>
          </w:p>
        </w:tc>
      </w:tr>
    </w:tbl>
    <w:p>
      <w:pPr>
        <w:pStyle w:val="ListBullet"/>
        <w:spacing w:before="40" w:after="40"/>
        <w:ind w:left="432" w:hanging="259"/>
      </w:pPr>
      <w:r>
        <w:rPr>
          <w:rFonts w:ascii="Arial" w:hAnsi="Arial"/>
          <w:b w:val="0"/>
          <w:i w:val="0"/>
          <w:color w:val="C9A84C"/>
          <w:sz w:val="20"/>
        </w:rPr>
        <w:t xml:space="preserve">→  </w:t>
      </w:r>
      <w:r>
        <w:rPr>
          <w:rFonts w:ascii="Arial" w:hAnsi="Arial"/>
          <w:b w:val="0"/>
          <w:i w:val="0"/>
          <w:color w:val="333333"/>
          <w:sz w:val="20"/>
        </w:rPr>
        <w:t>Dozens of small fire inspection shops across DFW — good operators, great customers, no succession plan.</w:t>
      </w:r>
    </w:p>
    <w:p>
      <w:pPr>
        <w:pStyle w:val="ListBullet"/>
        <w:spacing w:before="40" w:after="40"/>
        <w:ind w:left="432" w:hanging="259"/>
      </w:pPr>
      <w:r>
        <w:rPr>
          <w:rFonts w:ascii="Arial" w:hAnsi="Arial"/>
          <w:b w:val="0"/>
          <w:i w:val="0"/>
          <w:color w:val="C9A84C"/>
          <w:sz w:val="20"/>
        </w:rPr>
        <w:t xml:space="preserve">→  </w:t>
      </w:r>
      <w:r>
        <w:rPr>
          <w:rFonts w:ascii="Arial" w:hAnsi="Arial"/>
          <w:b w:val="0"/>
          <w:i w:val="0"/>
          <w:color w:val="333333"/>
          <w:sz w:val="20"/>
        </w:rPr>
        <w:t>Buy 1 or 2. Absorb their contract books.</w:t>
      </w:r>
    </w:p>
    <w:p>
      <w:pPr>
        <w:pStyle w:val="ListBullet"/>
        <w:spacing w:before="40" w:after="40"/>
        <w:ind w:left="432" w:hanging="259"/>
      </w:pPr>
      <w:r>
        <w:rPr>
          <w:rFonts w:ascii="Arial" w:hAnsi="Arial"/>
          <w:b w:val="0"/>
          <w:i w:val="0"/>
          <w:color w:val="C9A84C"/>
          <w:sz w:val="20"/>
        </w:rPr>
        <w:t xml:space="preserve">→  </w:t>
      </w:r>
      <w:r>
        <w:rPr>
          <w:rFonts w:ascii="Arial" w:hAnsi="Arial"/>
          <w:b w:val="0"/>
          <w:i w:val="0"/>
          <w:color w:val="333333"/>
          <w:sz w:val="20"/>
        </w:rPr>
        <w:t>$40–50M combined revenue.</w:t>
      </w:r>
    </w:p>
    <w:p>
      <w:pPr>
        <w:pStyle w:val="ListBullet"/>
        <w:spacing w:before="40" w:after="40"/>
        <w:ind w:left="432" w:hanging="259"/>
      </w:pPr>
      <w:r>
        <w:rPr>
          <w:rFonts w:ascii="Arial" w:hAnsi="Arial"/>
          <w:b w:val="0"/>
          <w:i w:val="0"/>
          <w:color w:val="C9A84C"/>
          <w:sz w:val="20"/>
        </w:rPr>
        <w:t xml:space="preserve">→  </w:t>
      </w:r>
      <w:r>
        <w:rPr>
          <w:rFonts w:ascii="Arial" w:hAnsi="Arial"/>
          <w:b w:val="0"/>
          <w:i w:val="0"/>
          <w:color w:val="333333"/>
          <w:sz w:val="20"/>
        </w:rPr>
        <w:t>That's when this becomes a platform, not just a company.</w:t>
      </w:r>
    </w:p>
    <w:p>
      <w:pPr>
        <w:spacing w:before="80" w:after="240"/>
        <w:ind w:left="432"/>
      </w:pPr>
      <w:r>
        <w:rPr>
          <w:rFonts w:ascii="Georgia" w:hAnsi="Georgia"/>
          <w:b/>
          <w:i/>
          <w:color w:val="1B2A3D"/>
          <w:sz w:val="20"/>
        </w:rPr>
        <w:t>"That's the multiplier."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C9A84C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4"/>
              </w:rPr>
              <w:t xml:space="preserve"> </w:t>
            </w:r>
          </w:p>
        </w:tc>
      </w:tr>
    </w:tbl>
    <w:p/>
    <w:p>
      <w:pPr>
        <w:spacing w:before="60" w:after="20"/>
      </w:pPr>
      <w:r>
        <w:rPr>
          <w:rFonts w:ascii="Arial" w:hAnsi="Arial"/>
          <w:b/>
          <w:i w:val="0"/>
          <w:color w:val="C9A84C"/>
          <w:sz w:val="16"/>
        </w:rPr>
        <w:t>THE PUNCHLINE</w:t>
      </w:r>
    </w:p>
    <w:p>
      <w:pPr>
        <w:spacing w:before="0" w:after="80"/>
      </w:pPr>
      <w:r>
        <w:rPr>
          <w:rFonts w:ascii="Georgia" w:hAnsi="Georgia"/>
          <w:b/>
          <w:i w:val="0"/>
          <w:color w:val="1B2A3D"/>
          <w:sz w:val="30"/>
        </w:rPr>
        <w:t>The $19M Becomes the Floor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5F0E8"/>
            <w:tcBorders>
              <w:top w:val="none" w:sz="4" w:space="0" w:color="auto"/>
              <w:bottom w:val="none" w:sz="4" w:space="0" w:color="auto"/>
              <w:left w:val="single" w:sz="16" w:space="0" w:color="C9A84C"/>
              <w:right w:val="none" w:sz="4" w:space="0" w:color="auto"/>
            </w:tcBorders>
          </w:tcPr>
          <w:p>
            <w:pPr>
              <w:spacing w:before="200" w:after="20"/>
              <w:ind w:left="216"/>
            </w:pPr>
            <w:r>
              <w:rPr>
                <w:b w:val="0"/>
                <w:i/>
                <w:color w:val="333333"/>
                <w:sz w:val="21"/>
              </w:rPr>
              <w:t>The deal gets you paid twice.</w:t>
            </w:r>
          </w:p>
          <w:p>
            <w:pPr>
              <w:spacing w:before="0" w:after="20"/>
              <w:ind w:left="216"/>
            </w:pPr>
            <w:r>
              <w:rPr>
                <w:b w:val="0"/>
                <w:i/>
                <w:color w:val="333333"/>
                <w:sz w:val="21"/>
              </w:rPr>
              <w:t>Once at closing. And again at Year 5 — when your 18% is bought out at full fair market value.</w:t>
            </w:r>
          </w:p>
          <w:p>
            <w:pPr>
              <w:spacing w:before="0" w:after="20"/>
              <w:ind w:left="216"/>
            </w:pPr>
            <w:r>
              <w:rPr>
                <w:b w:val="0"/>
                <w:i w:val="0"/>
                <w:color w:val="333333"/>
                <w:sz w:val="10"/>
              </w:rPr>
              <w:t xml:space="preserve"> </w:t>
            </w:r>
          </w:p>
          <w:p>
            <w:pPr>
              <w:spacing w:before="0" w:after="20"/>
              <w:ind w:left="216"/>
            </w:pPr>
            <w:r>
              <w:rPr>
                <w:b/>
                <w:i w:val="0"/>
                <w:color w:val="1B2A3D"/>
                <w:sz w:val="21"/>
              </w:rPr>
              <w:t>Year 5 is the exit. Defined. Certain. Full value.</w:t>
            </w:r>
          </w:p>
          <w:p>
            <w:pPr>
              <w:spacing w:before="0" w:after="20"/>
              <w:ind w:left="216"/>
            </w:pPr>
            <w:r>
              <w:rPr>
                <w:b w:val="0"/>
                <w:i w:val="0"/>
                <w:color w:val="333333"/>
                <w:sz w:val="10"/>
              </w:rPr>
              <w:t xml:space="preserve"> </w:t>
            </w:r>
          </w:p>
          <w:p>
            <w:pPr>
              <w:spacing w:before="0" w:after="20"/>
              <w:ind w:left="216"/>
            </w:pPr>
            <w:r>
              <w:rPr>
                <w:b w:val="0"/>
                <w:i/>
                <w:color w:val="333333"/>
                <w:sz w:val="21"/>
              </w:rPr>
              <w:t>And if the company is thriving and you want to keep riding your 18% beyond Year 5, that door stays open. But the plan is to make sure you walk away fully cashed out at Year 5.</w:t>
            </w:r>
          </w:p>
          <w:p>
            <w:pPr>
              <w:spacing w:before="0" w:after="20"/>
              <w:ind w:left="216"/>
            </w:pPr>
            <w:r>
              <w:rPr>
                <w:b w:val="0"/>
                <w:i w:val="0"/>
                <w:color w:val="333333"/>
                <w:sz w:val="10"/>
              </w:rPr>
              <w:t xml:space="preserve"> </w:t>
            </w:r>
          </w:p>
          <w:p>
            <w:pPr>
              <w:spacing w:before="0" w:after="20"/>
              <w:ind w:left="216"/>
            </w:pPr>
            <w:r>
              <w:rPr>
                <w:b/>
                <w:i w:val="0"/>
                <w:color w:val="1B2A3D"/>
                <w:sz w:val="21"/>
              </w:rPr>
              <w:t>The plan gets you paid twice — once at closing, and again at Year 5 when your 18% is bought out. Clean exit. Full value. Done.</w:t>
            </w:r>
          </w:p>
        </w:tc>
      </w:tr>
    </w:tbl>
    <w:p/>
    <w:p>
      <w:pPr>
        <w:spacing w:before="60" w:after="20"/>
      </w:pPr>
      <w:r>
        <w:rPr>
          <w:rFonts w:ascii="Arial" w:hAnsi="Arial"/>
          <w:b/>
          <w:i w:val="0"/>
          <w:color w:val="C9A84C"/>
          <w:sz w:val="16"/>
        </w:rPr>
        <w:t>THE CLOSE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1B2A3D"/>
          </w:tcPr>
          <w:p>
            <w:pPr>
              <w:spacing w:before="280" w:after="80"/>
              <w:ind w:left="288" w:right="288"/>
              <w:jc w:val="center"/>
            </w:pPr>
            <w:r>
              <w:rPr>
                <w:rFonts w:ascii="Georgia" w:hAnsi="Georgia"/>
                <w:b w:val="0"/>
                <w:i/>
                <w:color w:val="FFFFFF"/>
                <w:sz w:val="22"/>
              </w:rPr>
              <w:t>"You spent 40 years building something great.</w:t>
            </w:r>
          </w:p>
          <w:p>
            <w:pPr>
              <w:spacing w:before="0" w:after="80"/>
              <w:ind w:left="288" w:right="288"/>
              <w:jc w:val="center"/>
            </w:pPr>
            <w:r>
              <w:rPr>
                <w:b/>
                <w:i/>
                <w:color w:val="C9A84C"/>
                <w:sz w:val="22"/>
              </w:rPr>
              <w:t>The plan gets you paid twice — once at closing, and again at Year 5 when your 18% is bought out. Clean exit. Full value. Done.</w:t>
            </w:r>
          </w:p>
        </w:tc>
      </w:tr>
    </w:tbl>
    <w:p/>
    <w:p>
      <w:pPr>
        <w:spacing w:before="80" w:after="20"/>
      </w:pPr>
      <w:r>
        <w:rPr>
          <w:rFonts w:ascii="Arial" w:hAnsi="Arial"/>
          <w:b/>
          <w:i w:val="0"/>
          <w:color w:val="C9A84C"/>
          <w:sz w:val="16"/>
        </w:rPr>
        <w:t>SPEAKER NOTES</w:t>
      </w:r>
    </w:p>
    <w:p>
      <w:pPr>
        <w:spacing w:before="40" w:after="80"/>
        <w:ind w:left="144"/>
      </w:pPr>
      <w:r>
        <w:rPr>
          <w:rFonts w:ascii="Arial" w:hAnsi="Arial"/>
          <w:b w:val="0"/>
          <w:i w:val="0"/>
          <w:color w:val="C9A84C"/>
          <w:sz w:val="18"/>
        </w:rPr>
        <w:t xml:space="preserve">▸  </w:t>
      </w:r>
      <w:r>
        <w:rPr>
          <w:rFonts w:ascii="Arial" w:hAnsi="Arial"/>
          <w:b/>
          <w:i w:val="0"/>
          <w:color w:val="1B2A3D"/>
          <w:sz w:val="18"/>
        </w:rPr>
        <w:t xml:space="preserve">Don't show spreadsheets. </w:t>
      </w:r>
      <w:r>
        <w:rPr>
          <w:rFonts w:ascii="Arial" w:hAnsi="Arial"/>
          <w:b w:val="0"/>
          <w:i w:val="0"/>
          <w:color w:val="666666"/>
          <w:sz w:val="18"/>
        </w:rPr>
        <w:t>This is vision, not math. Have the Woody income analysis in your bag if he asks.</w:t>
      </w:r>
    </w:p>
    <w:p>
      <w:pPr>
        <w:spacing w:before="40" w:after="80"/>
        <w:ind w:left="144"/>
      </w:pPr>
      <w:r>
        <w:rPr>
          <w:rFonts w:ascii="Arial" w:hAnsi="Arial"/>
          <w:b w:val="0"/>
          <w:i w:val="0"/>
          <w:color w:val="C9A84C"/>
          <w:sz w:val="18"/>
        </w:rPr>
        <w:t xml:space="preserve">▸  </w:t>
      </w:r>
      <w:r>
        <w:rPr>
          <w:rFonts w:ascii="Arial" w:hAnsi="Arial"/>
          <w:b/>
          <w:i w:val="0"/>
          <w:color w:val="1B2A3D"/>
          <w:sz w:val="18"/>
        </w:rPr>
        <w:t xml:space="preserve">Woody's anchor is legacy + family. </w:t>
      </w:r>
      <w:r>
        <w:rPr>
          <w:rFonts w:ascii="Arial" w:hAnsi="Arial"/>
          <w:b w:val="0"/>
          <w:i w:val="0"/>
          <w:color w:val="666666"/>
          <w:sz w:val="18"/>
        </w:rPr>
        <w:t>Keep coming back to 'what you built.' Make him feel the pride.</w:t>
      </w:r>
    </w:p>
    <w:p>
      <w:pPr>
        <w:spacing w:before="40" w:after="80"/>
        <w:ind w:left="144"/>
      </w:pPr>
      <w:r>
        <w:rPr>
          <w:rFonts w:ascii="Arial" w:hAnsi="Arial"/>
          <w:b w:val="0"/>
          <w:i w:val="0"/>
          <w:color w:val="C9A84C"/>
          <w:sz w:val="18"/>
        </w:rPr>
        <w:t xml:space="preserve">▸  </w:t>
      </w:r>
      <w:r>
        <w:rPr>
          <w:rFonts w:ascii="Arial" w:hAnsi="Arial"/>
          <w:b/>
          <w:i w:val="0"/>
          <w:color w:val="1B2A3D"/>
          <w:sz w:val="18"/>
        </w:rPr>
        <w:t xml:space="preserve">The 18% framing is everything. </w:t>
      </w:r>
      <w:r>
        <w:rPr>
          <w:rFonts w:ascii="Arial" w:hAnsi="Arial"/>
          <w:b w:val="0"/>
          <w:i w:val="0"/>
          <w:color w:val="666666"/>
          <w:sz w:val="18"/>
        </w:rPr>
        <w:t>He's not selling out. He's upgrading. Reinforce that.</w:t>
      </w:r>
    </w:p>
    <w:p>
      <w:pPr>
        <w:spacing w:before="40" w:after="80"/>
        <w:ind w:left="144"/>
      </w:pPr>
      <w:r>
        <w:rPr>
          <w:rFonts w:ascii="Arial" w:hAnsi="Arial"/>
          <w:b w:val="0"/>
          <w:i w:val="0"/>
          <w:color w:val="C9A84C"/>
          <w:sz w:val="18"/>
        </w:rPr>
        <w:t xml:space="preserve">▸  </w:t>
      </w:r>
      <w:r>
        <w:rPr>
          <w:rFonts w:ascii="Arial" w:hAnsi="Arial"/>
          <w:b/>
          <w:i w:val="0"/>
          <w:color w:val="1B2A3D"/>
          <w:sz w:val="18"/>
        </w:rPr>
        <w:t xml:space="preserve">Under 3 minutes. </w:t>
      </w:r>
      <w:r>
        <w:rPr>
          <w:rFonts w:ascii="Arial" w:hAnsi="Arial"/>
          <w:b w:val="0"/>
          <w:i w:val="0"/>
          <w:color w:val="666666"/>
          <w:sz w:val="18"/>
        </w:rPr>
        <w:t>Plant the seed. Let it sit. Don't oversell.</w:t>
      </w:r>
    </w:p>
    <w:p>
      <w:pPr>
        <w:spacing w:before="40" w:after="80"/>
        <w:ind w:left="144"/>
      </w:pPr>
      <w:r>
        <w:rPr>
          <w:rFonts w:ascii="Arial" w:hAnsi="Arial"/>
          <w:b w:val="0"/>
          <w:i w:val="0"/>
          <w:color w:val="C9A84C"/>
          <w:sz w:val="18"/>
        </w:rPr>
        <w:t xml:space="preserve">▸  </w:t>
      </w:r>
      <w:r>
        <w:rPr>
          <w:rFonts w:ascii="Arial" w:hAnsi="Arial"/>
          <w:b/>
          <w:i w:val="0"/>
          <w:color w:val="1B2A3D"/>
          <w:sz w:val="18"/>
        </w:rPr>
        <w:t xml:space="preserve">If he wants numbers, </w:t>
      </w:r>
      <w:r>
        <w:rPr>
          <w:rFonts w:ascii="Arial" w:hAnsi="Arial"/>
          <w:b w:val="0"/>
          <w:i w:val="0"/>
          <w:color w:val="666666"/>
          <w:sz w:val="18"/>
        </w:rPr>
        <w:t>you have the income analysis doc. Pull it out then — not before.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1B2A3D"/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 w:val="0"/>
                <w:i w:val="0"/>
                <w:color w:val="C9A84C"/>
                <w:sz w:val="14"/>
              </w:rPr>
              <w:t>ONE BUCK CAPITAL  ·  GFS DFW FIRE PROS  ·  CONFIDENTIAL — JB BOUCK EYES ONLY</w:t>
            </w:r>
          </w:p>
        </w:tc>
      </w:tr>
    </w:tbl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