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3D"/>
          </w:tcPr>
          <w:p>
            <w:pPr>
              <w:spacing w:before="160" w:after="40"/>
              <w:jc w:val="center"/>
            </w:pPr>
            <w:r>
              <w:rPr>
                <w:rFonts w:ascii="Georgia" w:hAnsi="Georgia"/>
                <w:b/>
                <w:color w:val="FFFFFF"/>
                <w:sz w:val="40"/>
              </w:rPr>
              <w:t>THE CHOICE IN FRONT OF YOU</w:t>
            </w:r>
          </w:p>
          <w:p>
            <w:pPr>
              <w:spacing w:before="40" w:after="160"/>
              <w:jc w:val="center"/>
            </w:pPr>
            <w:r>
              <w:rPr>
                <w:rFonts w:ascii="Calibri" w:hAnsi="Calibri"/>
                <w:color w:val="C9A84C"/>
                <w:sz w:val="22"/>
              </w:rPr>
              <w:t>GFS Fire Pros — What This Deal Actually Means for Your Family</w:t>
            </w:r>
          </w:p>
        </w:tc>
      </w:tr>
    </w:tbl>
    <w:p/>
    <w:p/>
    <w:p>
      <w:pPr>
        <w:jc w:val="center"/>
      </w:pPr>
      <w:r>
        <w:rPr>
          <w:rFonts w:ascii="Georgia" w:hAnsi="Georgia"/>
          <w:b/>
          <w:color w:val="1B2A3D"/>
          <w:sz w:val="36"/>
        </w:rPr>
        <w:t>Two Paths. One Real Number.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B2A3D"/>
          </w:tcPr>
          <w:p>
            <w:pPr>
              <w:jc w:val="center"/>
            </w:pPr>
            <w:r>
              <w:rPr>
                <w:rFonts w:ascii="Georgia" w:hAnsi="Georgia"/>
                <w:b/>
                <w:color w:val="C9A84C"/>
                <w:sz w:val="22"/>
              </w:rPr>
            </w:r>
          </w:p>
        </w:tc>
        <w:tc>
          <w:tcPr>
            <w:tcW w:type="dxa" w:w="2880"/>
            <w:shd w:val="clear" w:color="auto" w:fill="1B2A3D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2"/>
              </w:rPr>
              <w:t>Cash Offer</w:t>
            </w:r>
          </w:p>
        </w:tc>
        <w:tc>
          <w:tcPr>
            <w:tcW w:type="dxa" w:w="3312"/>
            <w:shd w:val="clear" w:color="auto" w:fill="1B2A3D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2"/>
              </w:rPr>
              <w:t>Viking 90 Partnership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Headline Price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$14,000,000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$19,000,000+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Broker Fees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−$700,000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$0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Capital Gains + Taxes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−$3,540,000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Spread over 5+ years</w:t>
            </w:r>
          </w:p>
        </w:tc>
      </w:tr>
      <w:tr>
        <w:tc>
          <w:tcPr>
            <w:tcW w:type="dxa" w:w="3168"/>
            <w:shd w:val="clear" w:color="auto" w:fill="F5F0E8"/>
          </w:tcPr>
          <w:p>
            <w:r>
              <w:rPr>
                <w:rFonts w:ascii="Calibri" w:hAnsi="Calibri"/>
                <w:b/>
                <w:sz w:val="20"/>
              </w:rPr>
              <w:t>What You Actually Keep</w:t>
            </w:r>
          </w:p>
        </w:tc>
        <w:tc>
          <w:tcPr>
            <w:tcW w:type="dxa" w:w="2880"/>
            <w:shd w:val="clear" w:color="auto" w:fill="F5F0E8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$9,760,000</w:t>
            </w:r>
          </w:p>
        </w:tc>
        <w:tc>
          <w:tcPr>
            <w:tcW w:type="dxa" w:w="3312"/>
            <w:shd w:val="clear" w:color="auto" w:fill="C9A84C"/>
          </w:tcPr>
          <w:p>
            <w:pPr>
              <w:jc w:val="center"/>
            </w:pPr>
            <w:r>
              <w:rPr>
                <w:rFonts w:ascii="Calibri" w:hAnsi="Calibri"/>
                <w:b/>
                <w:color w:val="1B2A3D"/>
                <w:sz w:val="20"/>
              </w:rPr>
              <w:t>$14,000,000+</w:t>
            </w:r>
          </w:p>
        </w:tc>
      </w:tr>
      <w:tr>
        <w:tc>
          <w:tcPr>
            <w:tcW w:type="dxa" w:w="3168"/>
          </w:tcPr>
          <w:p/>
        </w:tc>
        <w:tc>
          <w:tcPr>
            <w:tcW w:type="dxa" w:w="2880"/>
          </w:tcPr>
          <w:p/>
        </w:tc>
        <w:tc>
          <w:tcPr>
            <w:tcW w:type="dxa" w:w="3312"/>
          </w:tcPr>
          <w:p/>
        </w:tc>
      </w:tr>
    </w:tbl>
    <w:p/>
    <w:p>
      <w:pPr>
        <w:jc w:val="center"/>
      </w:pPr>
      <w:r>
        <w:rPr>
          <w:rFonts w:ascii="Georgia" w:hAnsi="Georgia"/>
          <w:b/>
          <w:color w:val="C9A84C"/>
          <w:sz w:val="26"/>
        </w:rPr>
        <w:t>The cash offer sounds bigger. It isn't.</w:t>
      </w:r>
    </w:p>
    <w:p>
      <w:pPr>
        <w:pBdr>
          <w:bottom w:val="single" w:sz="6" w:space="1" w:color="1B2A3D"/>
        </w:pBdr>
        <w:spacing w:before="40" w:after="120"/>
      </w:pPr>
    </w:p>
    <w:p>
      <w:r>
        <w:rPr>
          <w:rFonts w:ascii="Georgia" w:hAnsi="Georgia"/>
          <w:b/>
          <w:color w:val="1B2A3D"/>
          <w:sz w:val="32"/>
        </w:rPr>
        <w:t>How the Money Flows to You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1B2A3D"/>
            <w:vAlign w:val="center"/>
          </w:tcPr>
          <w:p>
            <w:pPr>
              <w:jc w:val="center"/>
            </w:pPr>
            <w:r>
              <w:rPr>
                <w:rFonts w:ascii="Georgia" w:hAnsi="Georgia"/>
                <w:b/>
                <w:color w:val="C9A84C"/>
                <w:sz w:val="20"/>
              </w:rPr>
              <w:t>Day 1</w:t>
            </w:r>
          </w:p>
        </w:tc>
        <w:tc>
          <w:tcPr>
            <w:tcW w:type="dxa" w:w="7344"/>
            <w:shd w:val="clear" w:color="auto" w:fill="F5F0E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$8,200,000 cash at closing</w:t>
              <w:br/>
              <w:t>($5.7M for the business + $2.5M for the real estate)</w:t>
            </w:r>
          </w:p>
        </w:tc>
      </w:tr>
      <w:tr>
        <w:tc>
          <w:tcPr>
            <w:tcW w:type="dxa" w:w="2016"/>
            <w:shd w:val="clear" w:color="auto" w:fill="1B2A3D"/>
            <w:vAlign w:val="center"/>
          </w:tcPr>
          <w:p>
            <w:pPr>
              <w:jc w:val="center"/>
            </w:pPr>
            <w:r>
              <w:rPr>
                <w:rFonts w:ascii="Georgia" w:hAnsi="Georgia"/>
                <w:b/>
                <w:color w:val="C9A84C"/>
                <w:sz w:val="20"/>
              </w:rPr>
              <w:t>Every Month</w:t>
              <w:br/>
              <w:t>for 5 Years</w:t>
            </w:r>
          </w:p>
        </w:tc>
        <w:tc>
          <w:tcPr>
            <w:tcW w:type="dxa" w:w="734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$38,666/month — seller note, principal + interest, like clockwork</w:t>
              <w:br/>
              <w:t>$2,319,935 total over 60 months</w:t>
            </w:r>
          </w:p>
        </w:tc>
      </w:tr>
      <w:tr>
        <w:tc>
          <w:tcPr>
            <w:tcW w:type="dxa" w:w="2016"/>
            <w:shd w:val="clear" w:color="auto" w:fill="1B2A3D"/>
            <w:vAlign w:val="center"/>
          </w:tcPr>
          <w:p>
            <w:pPr>
              <w:jc w:val="center"/>
            </w:pPr>
            <w:r>
              <w:rPr>
                <w:rFonts w:ascii="Georgia" w:hAnsi="Georgia"/>
                <w:b/>
                <w:color w:val="C9A84C"/>
                <w:sz w:val="20"/>
              </w:rPr>
              <w:t>Every Quarter</w:t>
            </w:r>
          </w:p>
        </w:tc>
        <w:tc>
          <w:tcPr>
            <w:tcW w:type="dxa" w:w="7344"/>
            <w:shd w:val="clear" w:color="auto" w:fill="F5F0E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18% of company profits distributed as an equity holder</w:t>
              <w:br/>
              <w:t>Estimated $752,000–$1,103,000 over 5 years</w:t>
            </w:r>
          </w:p>
        </w:tc>
      </w:tr>
      <w:tr>
        <w:tc>
          <w:tcPr>
            <w:tcW w:type="dxa" w:w="2016"/>
            <w:shd w:val="clear" w:color="auto" w:fill="1B2A3D"/>
            <w:vAlign w:val="center"/>
          </w:tcPr>
          <w:p>
            <w:pPr>
              <w:jc w:val="center"/>
            </w:pPr>
            <w:r>
              <w:rPr>
                <w:rFonts w:ascii="Georgia" w:hAnsi="Georgia"/>
                <w:b/>
                <w:color w:val="C9A84C"/>
                <w:sz w:val="20"/>
              </w:rPr>
              <w:t>Year 5</w:t>
            </w:r>
          </w:p>
        </w:tc>
        <w:tc>
          <w:tcPr>
            <w:tcW w:type="dxa" w:w="734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Your 18% equity stake bought out at fair market value</w:t>
              <w:br/>
              <w:t>Estimated $2,900,000–$5,000,000 depending on growth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9A84C"/>
          </w:tcPr>
          <w:p>
            <w:pPr>
              <w:spacing w:before="160"/>
              <w:jc w:val="center"/>
            </w:pPr>
            <w:r>
              <w:rPr>
                <w:rFonts w:ascii="Georgia" w:hAnsi="Georgia"/>
                <w:b/>
                <w:color w:val="1B2A3D"/>
                <w:sz w:val="32"/>
              </w:rPr>
              <w:t>YOUR TOTAL:  $14,000,000 to $16,400,000</w:t>
            </w:r>
          </w:p>
          <w:p>
            <w:pPr>
              <w:spacing w:after="160"/>
              <w:jc w:val="center"/>
            </w:pPr>
            <w:r>
              <w:rPr>
                <w:rFonts w:ascii="Calibri" w:hAnsi="Calibri"/>
                <w:color w:val="1B2A3D"/>
                <w:sz w:val="20"/>
              </w:rPr>
              <w:t>Compared to $9,760,000 from a cash sale — after taxes and fees.</w:t>
            </w:r>
          </w:p>
        </w:tc>
      </w:tr>
    </w:tbl>
    <w:p>
      <w:pPr>
        <w:pBdr>
          <w:bottom w:val="single" w:sz="6" w:space="1" w:color="1B2A3D"/>
        </w:pBdr>
        <w:spacing w:before="40" w:after="120"/>
      </w:pPr>
    </w:p>
    <w:p/>
    <w:p>
      <w:r>
        <w:rPr>
          <w:rFonts w:ascii="Georgia" w:hAnsi="Georgia"/>
          <w:b/>
          <w:color w:val="1B2A3D"/>
          <w:sz w:val="26"/>
        </w:rPr>
        <w:t>What You're Not Giving Up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GFS keeps its name — 40 years of brand equity preserved.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Your team stays — with equity incentives to grow.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You remain an 18% equity holder with advisory rights.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Carly, Chad, and the grandchildren benefit from continued growth.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 voice in the company's future — you're not walking away.</w:t>
      </w:r>
    </w:p>
    <w:p/>
    <w:p>
      <w:r>
        <w:rPr>
          <w:rFonts w:ascii="Georgia" w:hAnsi="Georgia"/>
          <w:b/>
          <w:color w:val="1B2A3D"/>
          <w:sz w:val="26"/>
        </w:rPr>
        <w:t>Why $19M Is the Floor, Not the Ceiling</w:t>
      </w:r>
    </w:p>
    <w:p>
      <w:r>
        <w:rPr>
          <w:rFonts w:ascii="Calibri" w:hAnsi="Calibri"/>
          <w:b w:val="0"/>
          <w:i w:val="0"/>
          <w:sz w:val="20"/>
        </w:rPr>
        <w:t>GFS grew 34% last year. DFW is one of the fastest-growing markets in the country. We're investing in sales, service, and expansion — and your 18% rides with every dollar.</w:t>
      </w:r>
    </w:p>
    <w:p>
      <w:r>
        <w:rPr>
          <w:rFonts w:ascii="Calibri" w:hAnsi="Calibri"/>
          <w:b/>
          <w:i w:val="0"/>
          <w:color w:val="1B2A3D"/>
          <w:sz w:val="20"/>
        </w:rPr>
        <w:t>If GFS reaches $50M in revenue over the next 7–10 years, your 18% stake is worth $9–12 million at exit.</w:t>
      </w:r>
    </w:p>
    <w:p>
      <w:r>
        <w:rPr>
          <w:rFonts w:ascii="Calibri" w:hAnsi="Calibri"/>
          <w:b w:val="0"/>
          <w:i/>
          <w:color w:val="666666"/>
          <w:sz w:val="20"/>
        </w:rPr>
        <w:t>The cash buyer ends the story.  This deal starts a new chapter — and you're in it.</w:t>
      </w:r>
    </w:p>
    <w:p>
      <w:pPr>
        <w:pBdr>
          <w:bottom w:val="single" w:sz="6" w:space="1" w:color="1B2A3D"/>
        </w:pBdr>
        <w:spacing w:before="40" w:after="120"/>
      </w:pPr>
    </w:p>
    <w:p>
      <w:pPr>
        <w:jc w:val="center"/>
      </w:pPr>
      <w:r>
        <w:rPr>
          <w:rFonts w:ascii="Calibri" w:hAnsi="Calibri"/>
          <w:color w:val="666666"/>
          <w:sz w:val="18"/>
        </w:rPr>
        <w:t>Joel Bouck — Viking 90 Group  |  jb@onebuckcapital.com  |  Confidential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