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FF0000"/>
          <w:sz w:val="20"/>
          <w:szCs w:val="20"/>
        </w:rPr>
        <w:t xml:space="preserve">CONFIDENTIAL — INVESTOR USE ONLY</w:t>
      </w:r>
    </w:p>
    <w:p>
      <w:pPr>
        <w:jc w:val="center"/>
      </w:pPr>
      <w:r>
        <w:rPr>
          <w:b/>
          <w:bCs/>
          <w:sz w:val="24"/>
          <w:szCs w:val="24"/>
        </w:rPr>
        <w:t xml:space="preserve">VIKING 90 GROUP | ONE BUCK CAPITAL</w:t>
      </w:r>
    </w:p>
    <w:p>
      <w:pPr>
        <w:jc w:val="center"/>
      </w:pPr>
      <w:r>
        <w:rPr>
          <w:b/>
          <w:bCs/>
          <w:sz w:val="22"/>
          <w:szCs w:val="22"/>
        </w:rPr>
        <w:t xml:space="preserve">GFS DFW FIRE PROS — INVESTOR SHARE RETURN ANALYSIS</w:t>
      </w:r>
    </w:p>
    <w:p>
      <w:pPr>
        <w:jc w:val="center"/>
      </w:pPr>
      <w:r>
        <w:rPr>
          <w:b/>
          <w:bCs/>
          <w:sz w:val="20"/>
          <w:szCs w:val="20"/>
        </w:rPr>
        <w:t xml:space="preserve">REVISED OWNERSHIP STRUCTURE</w:t>
      </w:r>
    </w:p>
    <w:p>
      <w:pPr>
        <w:jc w:val="center"/>
      </w:pPr>
      <w:r>
        <w:rPr>
          <w:sz w:val="18"/>
          <w:szCs w:val="18"/>
        </w:rPr>
        <w:t xml:space="preserve">$50,000 per share | March 2026 | CONFIDENTIAL</w:t>
      </w:r>
    </w:p>
    <w:p/>
    <w:p>
      <w:pPr>
        <w:pStyle w:val="Heading1"/>
      </w:pPr>
      <w:r>
        <w:rPr>
          <w:b/>
          <w:bCs/>
          <w:sz w:val="24"/>
          <w:szCs w:val="24"/>
        </w:rPr>
        <w:t xml:space="preserve">REVISED OWNERSHIP STRUCTURE</w:t>
      </w:r>
    </w:p>
    <w:p>
      <w:r>
        <w:t xml:space="preserve">Investors: 35% (7 shares × $50,000 = $350,000) | JB Bouck: 20% | Woody Jarmon: 18% | Management Pool: 27%</w:t>
      </w:r>
    </w:p>
    <w:p>
      <w:r>
        <w:rPr>
          <w:b/>
          <w:bCs/>
        </w:rPr>
        <w:t xml:space="preserve">Each investor share = 5.0% of the company</w:t>
      </w:r>
    </w:p>
    <w:p/>
    <w:p>
      <w:pPr>
        <w:pStyle w:val="Heading1"/>
      </w:pPr>
      <w:r>
        <w:rPr>
          <w:b/>
          <w:bCs/>
          <w:sz w:val="22"/>
          <w:szCs w:val="22"/>
        </w:rPr>
        <w:t xml:space="preserve">KEY INSIGHT: WHY 35% IS BETTER THAN 60%</w:t>
      </w:r>
    </w:p>
    <w:p>
      <w:r>
        <w:t xml:space="preserve">The per-share investor economics are IDENTICAL — each share still represents 5% of the company. What changes:</w:t>
      </w:r>
    </w:p>
    <w:p>
      <w:r>
        <w:t xml:space="preserve">• Less capital to raise — $350K vs $600K. Easier to close, faster to fund.</w:t>
      </w:r>
    </w:p>
    <w:p>
      <w:r>
        <w:t xml:space="preserve">• JB retains 20% — strong operator alignment.</w:t>
      </w:r>
    </w:p>
    <w:p>
      <w:r>
        <w:t xml:space="preserve">• Management properly incentivized — 27% pool drives performance.</w:t>
      </w:r>
    </w:p>
    <w:p>
      <w:r>
        <w:t xml:space="preserve">• Simpler cap table — 7 investors vs. 12.</w:t>
      </w:r>
    </w:p>
    <w:p/>
    <w:p>
      <w:pPr>
        <w:pStyle w:val="Heading1"/>
      </w:pPr>
      <w:r>
        <w:rPr>
          <w:b/>
          <w:bCs/>
          <w:sz w:val="22"/>
          <w:szCs w:val="22"/>
        </w:rPr>
        <w:t xml:space="preserve">ANNUAL DISTRIBUTIONS BY STAKEHOLDER</w:t>
      </w:r>
    </w:p>
    <w:p>
      <w:r>
        <w:t xml:space="preserve">Distribution Policy: 30% of free cash flow, distributed quarterly | Growth: 10% annual EBITDA</w:t>
      </w:r>
    </w:p>
    <w:p/>
    <w:p>
      <w:r>
        <w:t xml:space="preserve">Year 1: Total $583,637 | Per Share: $29,182 | JB: $116,727 | Woody: $105,055 | Mgmt: $157,582</w:t>
      </w:r>
    </w:p>
    <w:p>
      <w:r>
        <w:t xml:space="preserve">Year 2: Total $671,695 | Per Share: $33,585 | JB: $134,339 | Woody: $120,905 | Mgmt: $181,358</w:t>
      </w:r>
    </w:p>
    <w:p>
      <w:r>
        <w:t xml:space="preserve">Year 3: Total $685,601 | Per Share: $34,280 | JB: $137,120 | Woody: $123,408 | Mgmt: $185,112</w:t>
      </w:r>
    </w:p>
    <w:p>
      <w:r>
        <w:t xml:space="preserve">Year 4: Total $792,151 | Per Share: $39,608 | JB: $158,430 | Woody: $142,587 | Mgmt: $213,881</w:t>
      </w:r>
    </w:p>
    <w:p>
      <w:r>
        <w:t xml:space="preserve">Year 5: Total $909,355 | Per Share: $45,468 | JB: $181,871 | Woody: $163,684 | Mgmt: $245,526</w:t>
      </w:r>
    </w:p>
    <w:p>
      <w:r>
        <w:rPr>
          <w:b/>
          <w:bCs/>
        </w:rPr>
        <w:t xml:space="preserve">5-YEAR TOTAL DISTRIBUTIONS PER SHARE: $182,123</w:t>
      </w:r>
    </w:p>
    <w:p/>
    <w:p>
      <w:pPr>
        <w:pStyle w:val="Heading1"/>
      </w:pPr>
      <w:r>
        <w:rPr>
          <w:b/>
          <w:bCs/>
          <w:sz w:val="22"/>
          <w:szCs w:val="22"/>
        </w:rPr>
        <w:t xml:space="preserve">YEAR 5 EXIT SCENARIOS</w:t>
      </w:r>
    </w:p>
    <w:p>
      <w:r>
        <w:t xml:space="preserve">Conservative (4.0x): Exit $584,501 + Distributions $182,123 = Total $766,624 | MOIC: 15.3x | Est. IRR: ~99%</w:t>
      </w:r>
    </w:p>
    <w:p>
      <w:r>
        <w:rPr>
          <w:b/>
          <w:bCs/>
        </w:rPr>
        <w:t xml:space="preserve">Base Case (4.5x): Exit $691,939 + Distributions $182,123 = Total $874,062 | MOIC: 17.5x | Est. IRR: ~103%</w:t>
      </w:r>
    </w:p>
    <w:p>
      <w:r>
        <w:t xml:space="preserve">Stretch (5.0x): Exit $799,376 + Distributions $182,123 = Total $981,499 | MOIC: 19.6x | Est. IRR: ~107%</w:t>
      </w:r>
    </w:p>
    <w:p/>
    <w:p>
      <w:pPr>
        <w:pStyle w:val="Heading1"/>
      </w:pPr>
      <w:r>
        <w:rPr>
          <w:b/>
          <w:bCs/>
          <w:sz w:val="22"/>
          <w:szCs w:val="22"/>
        </w:rPr>
        <w:t xml:space="preserve">CASH-OUT REFINANCE ALTERNATIVE (Year 5, 65% LTV)</w:t>
      </w:r>
    </w:p>
    <w:p>
      <w:r>
        <w:t xml:space="preserve">Refinance at 65% LTV instead of selling — extract equity while retaining ownership.</w:t>
      </w:r>
    </w:p>
    <w:p>
      <w:r>
        <w:t xml:space="preserve">Per Share — Refi Proceeds: $353,510 + Distributions $182,123 = Total $535,633 | MOIC: 10.7x</w:t>
      </w:r>
    </w:p>
    <w:p>
      <w:r>
        <w:rPr>
          <w:b/>
          <w:bCs/>
        </w:rPr>
        <w:t xml:space="preserve">Company continues operating and generating distributions after refi.</w:t>
      </w:r>
    </w:p>
    <w:p/>
    <w:p>
      <w:pPr>
        <w:pStyle w:val="Heading1"/>
      </w:pPr>
      <w:r>
        <w:rPr>
          <w:b/>
          <w:bCs/>
          <w:sz w:val="22"/>
          <w:szCs w:val="22"/>
        </w:rPr>
        <w:t xml:space="preserve">RETURN SUMMARY — PER $50,000 SHARE</w:t>
      </w:r>
    </w:p>
    <w:p>
      <w:r>
        <w:t xml:space="preserve">Refi (65% LTV): $535,633 total | 10.7x MOIC | ~75% IRR</w:t>
      </w:r>
    </w:p>
    <w:p>
      <w:r>
        <w:t xml:space="preserve">Sale 4.0x Conservative: $766,624 total | 15.3x MOIC | ~99% IRR</w:t>
      </w:r>
    </w:p>
    <w:p>
      <w:r>
        <w:rPr>
          <w:b/>
          <w:bCs/>
        </w:rPr>
        <w:t xml:space="preserve">Sale 4.5x Base Case: $874,062 total | 17.5x MOIC | ~103% IRR</w:t>
      </w:r>
    </w:p>
    <w:p>
      <w:r>
        <w:t xml:space="preserve">Sale 5.0x Stretch: $981,499 total | 19.6x MOIC | ~107% IRR</w:t>
      </w:r>
    </w:p>
    <w:p/>
    <w:p>
      <w:pPr>
        <w:pStyle w:val="Heading1"/>
      </w:pPr>
      <w:r>
        <w:rPr>
          <w:b/>
          <w:bCs/>
          <w:sz w:val="22"/>
          <w:szCs w:val="22"/>
        </w:rPr>
        <w:t xml:space="preserve">INVESTMENT TERMS</w:t>
      </w:r>
    </w:p>
    <w:p>
      <w:r>
        <w:t xml:space="preserve">Minimum Investment: $50,000 (1 share = 5.0% equity)</w:t>
      </w:r>
    </w:p>
    <w:p>
      <w:r>
        <w:t xml:space="preserve">Maximum Shares Available: 7 shares (35% investor pool)</w:t>
      </w:r>
    </w:p>
    <w:p>
      <w:r>
        <w:t xml:space="preserve">Total Raise: $350,000</w:t>
      </w:r>
    </w:p>
    <w:p>
      <w:r>
        <w:t xml:space="preserve">Distribution Frequency: Quarterly (30% of free cash flow)</w:t>
      </w:r>
    </w:p>
    <w:p>
      <w:r>
        <w:t xml:space="preserve">Target Close: Q2 2026</w:t>
      </w:r>
    </w:p>
    <w:p>
      <w:r>
        <w:t xml:space="preserve">Contact: JB Bouck | jb@onebuckcapital.com | 972-839-5364</w:t>
      </w:r>
    </w:p>
    <w:p/>
    <w:p>
      <w:pPr>
        <w:pStyle w:val="Heading2"/>
      </w:pPr>
      <w:r>
        <w:rPr>
          <w:b/>
          <w:bCs/>
          <w:sz w:val="18"/>
          <w:szCs w:val="18"/>
        </w:rPr>
        <w:t xml:space="preserve">RISK DISCLOSURES</w:t>
      </w:r>
    </w:p>
    <w:p>
      <w:r>
        <w:rPr>
          <w:sz w:val="16"/>
          <w:szCs w:val="16"/>
        </w:rPr>
        <w:t xml:space="preserve">This document is provided for informational purposes only and does not constitute an offer to sell securities. Private equity investments involve significant risk including loss of principal. All projections are estimates; actual results may differ. Consult qualified legal, tax, and financial advisors prior to investing.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2026-03-24T15:34:24.432Z</dcterms:created>
  <dcterms:modified xsi:type="dcterms:W3CDTF">2026-03-24T15:34:24.432Z</dcterms:modified>
</cp:coreProperties>
</file>

<file path=docProps/custom.xml><?xml version="1.0" encoding="utf-8"?>
<Properties xmlns="http://schemas.openxmlformats.org/officeDocument/2006/custom-properties" xmlns:vt="http://schemas.openxmlformats.org/officeDocument/2006/docPropsVTypes"/>
</file>