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0D999F" w14:textId="77777777" w:rsidR="00504803" w:rsidRDefault="00000000">
      <w:pPr>
        <w:spacing w:before="40" w:after="30"/>
      </w:pPr>
      <w:r>
        <w:rPr>
          <w:rFonts w:ascii="Cambria" w:eastAsia="Cambria" w:hAnsi="Cambria" w:cs="Cambria"/>
          <w:b/>
          <w:bCs/>
          <w:sz w:val="38"/>
          <w:szCs w:val="38"/>
        </w:rPr>
        <w:t>P1 · Problem-Framing Portfolio</w:t>
      </w:r>
    </w:p>
    <w:p w14:paraId="73BF5898" w14:textId="77777777" w:rsidR="00E87111" w:rsidRPr="00E87111" w:rsidRDefault="00000000">
      <w:pPr>
        <w:spacing w:before="60" w:after="80"/>
        <w:rPr>
          <w:b/>
          <w:bCs/>
          <w:color w:val="A6192E"/>
          <w:u w:val="single"/>
        </w:rPr>
      </w:pPr>
      <w:r>
        <w:rPr>
          <w:b/>
          <w:bCs/>
          <w:color w:val="A6192E"/>
        </w:rPr>
        <w:t xml:space="preserve">First graded deliverable · CILO 1 · Week 2 · </w:t>
      </w:r>
      <w:r w:rsidRPr="00E87111">
        <w:rPr>
          <w:b/>
          <w:bCs/>
          <w:color w:val="A6192E"/>
          <w:u w:val="single"/>
        </w:rPr>
        <w:t xml:space="preserve">COMPLETED IN CLASS. </w:t>
      </w:r>
    </w:p>
    <w:p w14:paraId="19E8B007" w14:textId="77777777" w:rsidR="00504803" w:rsidRDefault="00000000">
      <w:pPr>
        <w:spacing w:before="240" w:after="20"/>
      </w:pPr>
      <w:r>
        <w:rPr>
          <w:b/>
          <w:bCs/>
          <w:color w:val="A6192E"/>
          <w:spacing w:val="20"/>
          <w:sz w:val="17"/>
          <w:szCs w:val="17"/>
        </w:rPr>
        <w:t>THE TASK</w:t>
      </w:r>
    </w:p>
    <w:p w14:paraId="0EB5C18E" w14:textId="77777777" w:rsidR="00504803" w:rsidRDefault="00000000">
      <w:pPr>
        <w:spacing w:after="90"/>
      </w:pPr>
      <w:r>
        <w:rPr>
          <w:rFonts w:ascii="Cambria" w:eastAsia="Cambria" w:hAnsi="Cambria" w:cs="Cambria"/>
          <w:b/>
          <w:bCs/>
          <w:sz w:val="28"/>
          <w:szCs w:val="28"/>
        </w:rPr>
        <w:t>Four framed prediction problems — one per business function</w:t>
      </w:r>
    </w:p>
    <w:p w14:paraId="6DCF2339" w14:textId="77777777" w:rsidR="00504803" w:rsidRDefault="00000000">
      <w:pPr>
        <w:spacing w:before="60" w:after="40"/>
      </w:pPr>
      <w:r>
        <w:t xml:space="preserve">Frame one business prediction problem for EACH of the four functional areas — marketing, financial, human resource, and operations — all grounded in </w:t>
      </w:r>
      <w:r>
        <w:rPr>
          <w:b/>
          <w:bCs/>
          <w:color w:val="A6192E"/>
        </w:rPr>
        <w:t>Kape Tayo Coffee</w:t>
      </w:r>
      <w:r>
        <w:t>. Use the framing canvas on page 2 for every problem. No model, no code, no data work: P1 is judged entirely on the quality of your thinking before any analysis begins.</w:t>
      </w:r>
    </w:p>
    <w:p w14:paraId="3E873C37" w14:textId="77777777" w:rsidR="00504803" w:rsidRDefault="00000000">
      <w:pPr>
        <w:spacing w:before="60" w:after="40"/>
      </w:pPr>
      <w:r>
        <w:rPr>
          <w:b/>
          <w:bCs/>
        </w:rPr>
        <w:t xml:space="preserve">Your own track is your ANCHOR. </w:t>
      </w:r>
      <w:r>
        <w:t xml:space="preserve">For the area you own (P4 </w:t>
      </w:r>
      <w:proofErr w:type="spellStart"/>
      <w:r>
        <w:t>Anthonne</w:t>
      </w:r>
      <w:proofErr w:type="spellEnd"/>
      <w:r>
        <w:t xml:space="preserve"> · P5 Eliah · P6 Angus · P7 Lawrence), complete the extended anchor requirements on page 3 — this framing becomes the seed of your functional case report later in the term. The other three areas get the standard canvas. Start from your workshop C1 ladder if it held up to the shrug test.</w:t>
      </w:r>
    </w:p>
    <w:p w14:paraId="651DE338" w14:textId="77777777" w:rsidR="00504803" w:rsidRDefault="00000000">
      <w:pPr>
        <w:spacing w:before="60" w:after="40"/>
      </w:pPr>
      <w:r>
        <w:rPr>
          <w:b/>
          <w:bCs/>
        </w:rPr>
        <w:t xml:space="preserve">How the Studio runs: </w:t>
      </w:r>
      <w:r>
        <w:t>your workshop C1 ladder becomes your ANCHOR canvas (30 minutes, full depth + memo). Then three rapid rounds of 15 minutes each — one canvas per remaining function, all twelve fields, one disciplined line per field. A 15-minute shrug-test gallery closes the Studio: classmates answer your prediction questions as the reader — act, or shrug. Precision beats polish; a rough honest canvas outscores a beautiful vague one.</w:t>
      </w:r>
    </w:p>
    <w:p w14:paraId="46A2C1FF" w14:textId="77777777" w:rsidR="00504803" w:rsidRDefault="00000000">
      <w:pPr>
        <w:spacing w:before="60" w:after="80"/>
      </w:pPr>
      <w:r>
        <w:rPr>
          <w:b/>
          <w:bCs/>
        </w:rPr>
        <w:t xml:space="preserve">Format: </w:t>
      </w:r>
      <w:r>
        <w:t>one page per problem (anchor may run to two). A document or markdown file in the repo; commit as you draft — history counts. Each submission carries an AI Use Log appendix (tool, date, purpose, what was produced, how verified). Tier 2 uses (brainstorming candidate problems, reviewing your own drafts) are welcome WITH disclosure; AI-drafted framing submitted as your own reasoning is Tier 4.</w:t>
      </w:r>
    </w:p>
    <w:p w14:paraId="6CF927A1" w14:textId="77777777" w:rsidR="00504803" w:rsidRDefault="00000000">
      <w:r>
        <w:br w:type="page"/>
      </w:r>
    </w:p>
    <w:p w14:paraId="2D723D15" w14:textId="77777777" w:rsidR="00504803" w:rsidRDefault="00000000">
      <w:pPr>
        <w:spacing w:before="240" w:after="20"/>
      </w:pPr>
      <w:r>
        <w:rPr>
          <w:b/>
          <w:bCs/>
          <w:color w:val="A6192E"/>
          <w:spacing w:val="20"/>
          <w:sz w:val="17"/>
          <w:szCs w:val="17"/>
        </w:rPr>
        <w:lastRenderedPageBreak/>
        <w:t>THE INSTRUMENT</w:t>
      </w:r>
    </w:p>
    <w:p w14:paraId="129E1032" w14:textId="77777777" w:rsidR="00504803" w:rsidRDefault="00000000">
      <w:pPr>
        <w:spacing w:after="90"/>
      </w:pPr>
      <w:r>
        <w:rPr>
          <w:rFonts w:ascii="Cambria" w:eastAsia="Cambria" w:hAnsi="Cambria" w:cs="Cambria"/>
          <w:b/>
          <w:bCs/>
          <w:sz w:val="28"/>
          <w:szCs w:val="28"/>
        </w:rPr>
        <w:t>Framing canvas — complete every field, in business language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9"/>
        <w:gridCol w:w="6237"/>
      </w:tblGrid>
      <w:tr w:rsidR="00504803" w14:paraId="11344440" w14:textId="77777777" w:rsidTr="00E87111">
        <w:tblPrEx>
          <w:tblCellMar>
            <w:top w:w="0" w:type="dxa"/>
            <w:bottom w:w="0" w:type="dxa"/>
          </w:tblCellMar>
        </w:tblPrEx>
        <w:trPr>
          <w:tblHeader/>
        </w:trPr>
        <w:tc>
          <w:tcPr>
            <w:tcW w:w="1716" w:type="pct"/>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54DFFF2B" w14:textId="77777777" w:rsidR="00504803" w:rsidRDefault="00000000">
            <w:r>
              <w:rPr>
                <w:b/>
                <w:bCs/>
                <w:color w:val="FFFFFF"/>
                <w:sz w:val="18"/>
                <w:szCs w:val="18"/>
              </w:rPr>
              <w:t>Canvas field</w:t>
            </w:r>
          </w:p>
        </w:tc>
        <w:tc>
          <w:tcPr>
            <w:tcW w:w="3284" w:type="pct"/>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304CE685" w14:textId="77777777" w:rsidR="00504803" w:rsidRDefault="00000000">
            <w:r>
              <w:rPr>
                <w:b/>
                <w:bCs/>
                <w:color w:val="FFFFFF"/>
                <w:sz w:val="18"/>
                <w:szCs w:val="18"/>
              </w:rPr>
              <w:t>What a complete answer contains</w:t>
            </w:r>
          </w:p>
        </w:tc>
      </w:tr>
      <w:tr w:rsidR="00504803" w14:paraId="5E3B49EB"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1D2B0D1D" w14:textId="77777777" w:rsidR="00504803" w:rsidRDefault="00000000">
            <w:r>
              <w:rPr>
                <w:b/>
                <w:bCs/>
                <w:color w:val="A6192E"/>
                <w:sz w:val="20"/>
                <w:szCs w:val="20"/>
              </w:rPr>
              <w:t>1 · Business decision</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17A2DE6A" w14:textId="77777777" w:rsidR="00504803" w:rsidRDefault="00000000">
            <w:r>
              <w:rPr>
                <w:sz w:val="19"/>
                <w:szCs w:val="19"/>
              </w:rPr>
              <w:t>The recurring decision someone at Kape Tayo must make. A decision, not a topic: "how many trays of milk to order per branch per week," never "inventory."</w:t>
            </w:r>
          </w:p>
        </w:tc>
      </w:tr>
      <w:tr w:rsidR="00504803" w14:paraId="1A588D3D"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238FAC2B" w14:textId="77777777" w:rsidR="00504803" w:rsidRDefault="00000000">
            <w:r>
              <w:rPr>
                <w:b/>
                <w:bCs/>
                <w:color w:val="A6192E"/>
                <w:sz w:val="20"/>
                <w:szCs w:val="20"/>
              </w:rPr>
              <w:t>2 · Decision-maker</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59CCA165" w14:textId="77777777" w:rsidR="00504803" w:rsidRDefault="00000000">
            <w:r>
              <w:rPr>
                <w:sz w:val="19"/>
                <w:szCs w:val="19"/>
              </w:rPr>
              <w:t>The named reader who acts. What do they control? What can they actually change?</w:t>
            </w:r>
          </w:p>
        </w:tc>
      </w:tr>
      <w:tr w:rsidR="00504803" w14:paraId="67584095"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522F2611" w14:textId="77777777" w:rsidR="00504803" w:rsidRDefault="00000000">
            <w:r>
              <w:rPr>
                <w:b/>
                <w:bCs/>
                <w:color w:val="A6192E"/>
                <w:sz w:val="20"/>
                <w:szCs w:val="20"/>
              </w:rPr>
              <w:t>3 · Prediction question</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75D429E6" w14:textId="77777777" w:rsidR="00504803" w:rsidRDefault="00000000">
            <w:r>
              <w:rPr>
                <w:sz w:val="19"/>
                <w:szCs w:val="19"/>
              </w:rPr>
              <w:t>One sentence, answerable in advance: "Which/how many/how likely … in the next &lt;horizon&gt;?"</w:t>
            </w:r>
          </w:p>
        </w:tc>
      </w:tr>
      <w:tr w:rsidR="00504803" w14:paraId="0575390B"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3FB280DA" w14:textId="77777777" w:rsidR="00504803" w:rsidRDefault="00000000">
            <w:r>
              <w:rPr>
                <w:b/>
                <w:bCs/>
                <w:color w:val="A6192E"/>
                <w:sz w:val="20"/>
                <w:szCs w:val="20"/>
              </w:rPr>
              <w:t>4 · Target variable</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3E05F42D" w14:textId="77777777" w:rsidR="00504803" w:rsidRDefault="00000000">
            <w:r>
              <w:rPr>
                <w:sz w:val="19"/>
                <w:szCs w:val="19"/>
              </w:rPr>
              <w:t>The exact thing predicted: how it is measured, in what units, over what window. If you cannot say how it would be measured, it is not a target yet.</w:t>
            </w:r>
          </w:p>
        </w:tc>
      </w:tr>
      <w:tr w:rsidR="00504803" w14:paraId="5987C018"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7D1A148A" w14:textId="77777777" w:rsidR="00504803" w:rsidRDefault="00000000">
            <w:r>
              <w:rPr>
                <w:b/>
                <w:bCs/>
                <w:color w:val="A6192E"/>
                <w:sz w:val="20"/>
                <w:szCs w:val="20"/>
              </w:rPr>
              <w:t>5 · Unit of analysis</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6C92DF27" w14:textId="77777777" w:rsidR="00504803" w:rsidRDefault="00000000">
            <w:r>
              <w:rPr>
                <w:sz w:val="19"/>
                <w:szCs w:val="19"/>
              </w:rPr>
              <w:t>One row of your future dataset: a customer? an invoice? a branch-day? an employee-quarter? Be precise — most framing failures die here.</w:t>
            </w:r>
          </w:p>
        </w:tc>
      </w:tr>
      <w:tr w:rsidR="00504803" w14:paraId="3A481C8A"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47E14C55" w14:textId="77777777" w:rsidR="00504803" w:rsidRDefault="00000000">
            <w:r>
              <w:rPr>
                <w:b/>
                <w:bCs/>
                <w:color w:val="A6192E"/>
                <w:sz w:val="20"/>
                <w:szCs w:val="20"/>
              </w:rPr>
              <w:t>6 · Prediction horizon</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293A3D22" w14:textId="77777777" w:rsidR="00504803" w:rsidRDefault="00000000">
            <w:r>
              <w:rPr>
                <w:sz w:val="19"/>
                <w:szCs w:val="19"/>
              </w:rPr>
              <w:t>How far ahead the prediction must arrive to still be useful to the decision-maker.</w:t>
            </w:r>
          </w:p>
        </w:tc>
      </w:tr>
      <w:tr w:rsidR="00504803" w14:paraId="3F94AF48"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7B7BB624" w14:textId="77777777" w:rsidR="00504803" w:rsidRDefault="00000000">
            <w:r>
              <w:rPr>
                <w:b/>
                <w:bCs/>
                <w:color w:val="A6192E"/>
                <w:sz w:val="20"/>
                <w:szCs w:val="20"/>
              </w:rPr>
              <w:t>7 · Candidate predictors</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4078561" w14:textId="77777777" w:rsidR="00504803" w:rsidRDefault="00000000">
            <w:r>
              <w:rPr>
                <w:sz w:val="19"/>
                <w:szCs w:val="19"/>
              </w:rPr>
              <w:t>What Kape Tayo would plausibly know BEFORE the outcome — name 4–8. Flag anything that smells like leakage (knowable only after the fact).</w:t>
            </w:r>
          </w:p>
        </w:tc>
      </w:tr>
      <w:tr w:rsidR="00504803" w14:paraId="4A2C5303"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46153D37" w14:textId="77777777" w:rsidR="00504803" w:rsidRDefault="00000000">
            <w:r>
              <w:rPr>
                <w:b/>
                <w:bCs/>
                <w:color w:val="A6192E"/>
                <w:sz w:val="20"/>
                <w:szCs w:val="20"/>
              </w:rPr>
              <w:t>8 · Decision action</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37DA3B93" w14:textId="77777777" w:rsidR="00504803" w:rsidRDefault="00000000">
            <w:r>
              <w:rPr>
                <w:sz w:val="19"/>
                <w:szCs w:val="19"/>
              </w:rPr>
              <w:t>If the prediction says X, the decision-maker does Y. If no action changes, the prediction is decoration.</w:t>
            </w:r>
          </w:p>
        </w:tc>
      </w:tr>
      <w:tr w:rsidR="00504803" w14:paraId="6CDCD450"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2179876A" w14:textId="77777777" w:rsidR="00504803" w:rsidRDefault="00000000">
            <w:r>
              <w:rPr>
                <w:b/>
                <w:bCs/>
                <w:color w:val="A6192E"/>
                <w:sz w:val="20"/>
                <w:szCs w:val="20"/>
              </w:rPr>
              <w:t>9 · Success criteria</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4E4CA182" w14:textId="77777777" w:rsidR="00504803" w:rsidRDefault="00000000">
            <w:r>
              <w:rPr>
                <w:sz w:val="19"/>
                <w:szCs w:val="19"/>
              </w:rPr>
              <w:t>In business units — pesos protected, hours saved, stockouts avoided, resignations pre-empted — with a number you would defend.</w:t>
            </w:r>
          </w:p>
        </w:tc>
      </w:tr>
      <w:tr w:rsidR="00504803" w14:paraId="4D8F0417"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6EC9E3F7" w14:textId="77777777" w:rsidR="00504803" w:rsidRDefault="00000000">
            <w:r>
              <w:rPr>
                <w:b/>
                <w:bCs/>
                <w:color w:val="A6192E"/>
                <w:sz w:val="20"/>
                <w:szCs w:val="20"/>
              </w:rPr>
              <w:t>10 · Cost of error, both ways</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523B71F1" w14:textId="77777777" w:rsidR="00504803" w:rsidRDefault="00000000">
            <w:r>
              <w:rPr>
                <w:sz w:val="19"/>
                <w:szCs w:val="19"/>
              </w:rPr>
              <w:t>What a false alarm costs vs what a miss costs, and which is worse here. Asymmetry is the interesting part.</w:t>
            </w:r>
          </w:p>
        </w:tc>
      </w:tr>
      <w:tr w:rsidR="00504803" w14:paraId="56A130BE"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029CC285" w14:textId="77777777" w:rsidR="00504803" w:rsidRDefault="00000000">
            <w:r>
              <w:rPr>
                <w:b/>
                <w:bCs/>
                <w:color w:val="A6192E"/>
                <w:sz w:val="20"/>
                <w:szCs w:val="20"/>
              </w:rPr>
              <w:t>11 · Baseline to beat</w:t>
            </w:r>
          </w:p>
        </w:tc>
        <w:tc>
          <w:tcPr>
            <w:tcW w:w="3284" w:type="pct"/>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2DF2BD3" w14:textId="77777777" w:rsidR="00504803" w:rsidRDefault="00000000">
            <w:r>
              <w:rPr>
                <w:sz w:val="19"/>
                <w:szCs w:val="19"/>
              </w:rPr>
              <w:t>The dumb guess: recent average, majority class, existing rule of thumb. Your future model must beat this or it is not worth building.</w:t>
            </w:r>
          </w:p>
        </w:tc>
      </w:tr>
      <w:tr w:rsidR="00504803" w14:paraId="3C6DB1D4" w14:textId="77777777" w:rsidTr="00E87111">
        <w:tblPrEx>
          <w:tblCellMar>
            <w:top w:w="0" w:type="dxa"/>
            <w:bottom w:w="0" w:type="dxa"/>
          </w:tblCellMar>
        </w:tblPrEx>
        <w:tc>
          <w:tcPr>
            <w:tcW w:w="1716"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00D7D9DF" w14:textId="77777777" w:rsidR="00504803" w:rsidRDefault="00000000">
            <w:r>
              <w:rPr>
                <w:b/>
                <w:bCs/>
                <w:color w:val="A6192E"/>
                <w:sz w:val="20"/>
                <w:szCs w:val="20"/>
              </w:rPr>
              <w:t>12 · Scope &amp; data ethics</w:t>
            </w:r>
          </w:p>
        </w:tc>
        <w:tc>
          <w:tcPr>
            <w:tcW w:w="3284" w:type="pct"/>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73CDE240" w14:textId="77777777" w:rsidR="00504803" w:rsidRDefault="00000000">
            <w:r>
              <w:rPr>
                <w:sz w:val="19"/>
                <w:szCs w:val="19"/>
              </w:rPr>
              <w:t>Is this feasible with warehouse data this term? Any personal data (customers, employees)? If yes: RA 10173 applies — lawful basis, de-identification, and employee data is sensitive by default.</w:t>
            </w:r>
          </w:p>
        </w:tc>
      </w:tr>
    </w:tbl>
    <w:p w14:paraId="574BEBB4" w14:textId="77777777" w:rsidR="00504803" w:rsidRDefault="00000000">
      <w:pPr>
        <w:spacing w:before="80" w:after="80"/>
      </w:pPr>
      <w:r>
        <w:rPr>
          <w:b/>
          <w:bCs/>
        </w:rPr>
        <w:t xml:space="preserve">Reproduce these twelve fields for each of your four problems </w:t>
      </w:r>
      <w:r>
        <w:t>(a table, headings, or labelled paragraphs — your choice, all twelve present).</w:t>
      </w:r>
    </w:p>
    <w:p w14:paraId="169E427E" w14:textId="77777777" w:rsidR="00504803" w:rsidRDefault="00000000">
      <w:r>
        <w:br w:type="page"/>
      </w:r>
    </w:p>
    <w:p w14:paraId="5069970B" w14:textId="77777777" w:rsidR="00504803" w:rsidRDefault="00000000">
      <w:pPr>
        <w:spacing w:before="240" w:after="20"/>
      </w:pPr>
      <w:r>
        <w:rPr>
          <w:b/>
          <w:bCs/>
          <w:color w:val="A6192E"/>
          <w:spacing w:val="20"/>
          <w:sz w:val="17"/>
          <w:szCs w:val="17"/>
        </w:rPr>
        <w:lastRenderedPageBreak/>
        <w:t>ANCHOR REQUIREMENTS</w:t>
      </w:r>
    </w:p>
    <w:p w14:paraId="7DD44E78" w14:textId="77777777" w:rsidR="00504803" w:rsidRDefault="00000000">
      <w:pPr>
        <w:spacing w:after="90"/>
      </w:pPr>
      <w:r>
        <w:rPr>
          <w:rFonts w:ascii="Cambria" w:eastAsia="Cambria" w:hAnsi="Cambria" w:cs="Cambria"/>
          <w:b/>
          <w:bCs/>
          <w:sz w:val="28"/>
          <w:szCs w:val="28"/>
        </w:rPr>
        <w:t>Extra depth for the track you own</w:t>
      </w:r>
    </w:p>
    <w:p w14:paraId="54D34AC0" w14:textId="77777777" w:rsidR="00504803" w:rsidRDefault="00000000">
      <w:pPr>
        <w:spacing w:before="60" w:after="100"/>
      </w:pPr>
      <w:r>
        <w:rPr>
          <w:b/>
          <w:bCs/>
        </w:rPr>
        <w:t xml:space="preserve">For your own track only, add: </w:t>
      </w:r>
      <w:r>
        <w:t>(a) a one-paragraph memo TO your named reader, in their language, arguing why this prediction deserves their attention this quarter — open with the business pain, not the method; (b) two alternative prediction questions you considered and one sentence each on why you rejected them; (c) a line tracing the problem to something concrete — the workshop data, the announcement, or the Kape Tayo files ("I noticed …").</w:t>
      </w:r>
    </w:p>
    <w:p w14:paraId="48E79D03" w14:textId="77777777" w:rsidR="00504803" w:rsidRDefault="00000000">
      <w:pPr>
        <w:spacing w:before="240" w:after="20"/>
      </w:pPr>
      <w:r>
        <w:rPr>
          <w:b/>
          <w:bCs/>
          <w:color w:val="A6192E"/>
          <w:spacing w:val="20"/>
          <w:sz w:val="17"/>
          <w:szCs w:val="17"/>
        </w:rPr>
        <w:t>CALIBRATION</w:t>
      </w:r>
    </w:p>
    <w:p w14:paraId="787F6031" w14:textId="77777777" w:rsidR="00504803" w:rsidRDefault="00000000">
      <w:pPr>
        <w:spacing w:after="90"/>
      </w:pPr>
      <w:r>
        <w:rPr>
          <w:rFonts w:ascii="Cambria" w:eastAsia="Cambria" w:hAnsi="Cambria" w:cs="Cambria"/>
          <w:b/>
          <w:bCs/>
          <w:sz w:val="28"/>
          <w:szCs w:val="28"/>
        </w:rPr>
        <w:t>The same problem, framed badly and framed well</w:t>
      </w:r>
    </w:p>
    <w:p w14:paraId="499A2B6A" w14:textId="77777777" w:rsidR="00504803" w:rsidRDefault="00000000">
      <w:pPr>
        <w:spacing w:before="60" w:after="20"/>
      </w:pPr>
      <w:r>
        <w:rPr>
          <w:b/>
          <w:bCs/>
          <w:color w:val="7A6E6E"/>
        </w:rPr>
        <w:t>Weak (would score Beginning):</w:t>
      </w:r>
    </w:p>
    <w:p w14:paraId="3A8065D6" w14:textId="77777777" w:rsidR="00504803" w:rsidRDefault="00000000">
      <w:pPr>
        <w:spacing w:before="60" w:after="40"/>
        <w:ind w:left="240"/>
      </w:pPr>
      <w:r>
        <w:rPr>
          <w:i/>
          <w:iCs/>
        </w:rPr>
        <w:t>“Predict sales using machine learning so management can make better decisions. Success is high accuracy.”</w:t>
      </w:r>
    </w:p>
    <w:p w14:paraId="6ACFA4E5" w14:textId="77777777" w:rsidR="00504803" w:rsidRDefault="00000000">
      <w:pPr>
        <w:spacing w:before="60" w:after="20"/>
      </w:pPr>
      <w:r>
        <w:rPr>
          <w:b/>
          <w:bCs/>
          <w:color w:val="A6192E"/>
        </w:rPr>
        <w:t>Strong (what Exemplary looks like):</w:t>
      </w:r>
    </w:p>
    <w:p w14:paraId="3AF5E372" w14:textId="77777777" w:rsidR="00504803" w:rsidRDefault="00000000">
      <w:pPr>
        <w:spacing w:before="60" w:after="100"/>
        <w:ind w:left="240"/>
      </w:pPr>
      <w:r>
        <w:rPr>
          <w:i/>
          <w:iCs/>
        </w:rPr>
        <w:t>“Every Thursday the Operations Manager fixes each branch's weekend staffing and stock order (decision). Predict cups sold per branch-day (target; unit: branch-day) for the coming Fri–Sun (horizon), using day-of-week, payday proximity, local events, weather and the branch's trailing four weekends (predictors — all knowable Thursday). If predicted demand exceeds staffed capacity, add one floater barista and 15% stock (action). Success: stockout days cut from 6 to ≤2 per month across six branches without raising spoilage above 3% (criteria). A missed high day costs ~₱18k in lost sales and walkouts; a false alarm costs ~₱2.4k in idle wages — misses are ~7× worse, so we tolerate over-staffing (asymmetric cost). Must beat: same-weekend-last-month naive forecast (baseline). Branch-day sales data carries no personal data; nothing sensitive (ethics).”</w:t>
      </w:r>
    </w:p>
    <w:p w14:paraId="062368CE" w14:textId="77777777" w:rsidR="00504803" w:rsidRDefault="00000000">
      <w:pPr>
        <w:spacing w:before="240" w:after="20"/>
      </w:pPr>
      <w:r>
        <w:rPr>
          <w:b/>
          <w:bCs/>
          <w:color w:val="A6192E"/>
          <w:spacing w:val="20"/>
          <w:sz w:val="17"/>
          <w:szCs w:val="17"/>
        </w:rPr>
        <w:t>GRADING</w:t>
      </w:r>
    </w:p>
    <w:p w14:paraId="177858E4" w14:textId="77777777" w:rsidR="00504803" w:rsidRDefault="00000000">
      <w:pPr>
        <w:spacing w:after="90"/>
      </w:pPr>
      <w:r>
        <w:rPr>
          <w:rFonts w:ascii="Cambria" w:eastAsia="Cambria" w:hAnsi="Cambria" w:cs="Cambria"/>
          <w:b/>
          <w:bCs/>
          <w:sz w:val="28"/>
          <w:szCs w:val="28"/>
        </w:rPr>
        <w:t>P1 rubric (counts in the laboratory / Problem-Framing component of your Prelim grade)</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4950"/>
      </w:tblGrid>
      <w:tr w:rsidR="00504803" w14:paraId="29FC3E00" w14:textId="77777777">
        <w:tblPrEx>
          <w:tblCellMar>
            <w:top w:w="0" w:type="dxa"/>
            <w:bottom w:w="0" w:type="dxa"/>
          </w:tblCellMar>
        </w:tblPrEx>
        <w:trPr>
          <w:tblHeader/>
        </w:trPr>
        <w:tc>
          <w:tcPr>
            <w:tcW w:w="2600" w:type="dxa"/>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7EF6E330" w14:textId="77777777" w:rsidR="00504803" w:rsidRDefault="00000000">
            <w:r>
              <w:rPr>
                <w:b/>
                <w:bCs/>
                <w:color w:val="FFFFFF"/>
                <w:sz w:val="18"/>
                <w:szCs w:val="18"/>
              </w:rPr>
              <w:t>Criterion</w:t>
            </w:r>
          </w:p>
        </w:tc>
        <w:tc>
          <w:tcPr>
            <w:tcW w:w="900" w:type="dxa"/>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6076A9C3" w14:textId="77777777" w:rsidR="00504803" w:rsidRDefault="00000000">
            <w:r>
              <w:rPr>
                <w:b/>
                <w:bCs/>
                <w:color w:val="FFFFFF"/>
                <w:sz w:val="18"/>
                <w:szCs w:val="18"/>
              </w:rPr>
              <w:t>Weight</w:t>
            </w:r>
          </w:p>
        </w:tc>
        <w:tc>
          <w:tcPr>
            <w:tcW w:w="4950" w:type="dxa"/>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435B8B4F" w14:textId="77777777" w:rsidR="00504803" w:rsidRDefault="00000000">
            <w:r>
              <w:rPr>
                <w:b/>
                <w:bCs/>
                <w:color w:val="FFFFFF"/>
                <w:sz w:val="18"/>
                <w:szCs w:val="18"/>
              </w:rPr>
              <w:t>Exemplary means</w:t>
            </w:r>
          </w:p>
        </w:tc>
      </w:tr>
      <w:tr w:rsidR="00504803" w14:paraId="03DA0295" w14:textId="77777777">
        <w:tblPrEx>
          <w:tblCellMar>
            <w:top w:w="0" w:type="dxa"/>
            <w:bottom w:w="0" w:type="dxa"/>
          </w:tblCellMar>
        </w:tblPrEx>
        <w:tc>
          <w:tcPr>
            <w:tcW w:w="26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4CE359D8" w14:textId="77777777" w:rsidR="00504803" w:rsidRDefault="00000000">
            <w:r>
              <w:rPr>
                <w:b/>
                <w:bCs/>
                <w:sz w:val="19"/>
                <w:szCs w:val="19"/>
              </w:rPr>
              <w:t>Target &amp; unit precision</w:t>
            </w:r>
          </w:p>
        </w:tc>
        <w:tc>
          <w:tcPr>
            <w:tcW w:w="9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48FA9720" w14:textId="77777777" w:rsidR="00504803" w:rsidRDefault="00000000">
            <w:pPr>
              <w:jc w:val="center"/>
            </w:pPr>
            <w:r>
              <w:rPr>
                <w:b/>
                <w:bCs/>
                <w:color w:val="A6192E"/>
                <w:sz w:val="19"/>
                <w:szCs w:val="19"/>
              </w:rPr>
              <w:t>30%</w:t>
            </w:r>
          </w:p>
        </w:tc>
        <w:tc>
          <w:tcPr>
            <w:tcW w:w="49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084706E" w14:textId="77777777" w:rsidR="00504803" w:rsidRDefault="00000000">
            <w:r>
              <w:rPr>
                <w:sz w:val="19"/>
                <w:szCs w:val="19"/>
              </w:rPr>
              <w:t>Target measurable as stated; unit of analysis exact; horizon stated; no leakage among predictors.</w:t>
            </w:r>
          </w:p>
        </w:tc>
      </w:tr>
      <w:tr w:rsidR="00504803" w14:paraId="38C45932" w14:textId="77777777">
        <w:tblPrEx>
          <w:tblCellMar>
            <w:top w:w="0" w:type="dxa"/>
            <w:bottom w:w="0" w:type="dxa"/>
          </w:tblCellMar>
        </w:tblPrEx>
        <w:tc>
          <w:tcPr>
            <w:tcW w:w="26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5DA1C0B4" w14:textId="77777777" w:rsidR="00504803" w:rsidRDefault="00000000">
            <w:r>
              <w:rPr>
                <w:b/>
                <w:bCs/>
                <w:sz w:val="19"/>
                <w:szCs w:val="19"/>
              </w:rPr>
              <w:t>Decision linkage</w:t>
            </w:r>
          </w:p>
        </w:tc>
        <w:tc>
          <w:tcPr>
            <w:tcW w:w="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216AAA89" w14:textId="77777777" w:rsidR="00504803" w:rsidRDefault="00000000">
            <w:pPr>
              <w:jc w:val="center"/>
            </w:pPr>
            <w:r>
              <w:rPr>
                <w:b/>
                <w:bCs/>
                <w:color w:val="A6192E"/>
                <w:sz w:val="19"/>
                <w:szCs w:val="19"/>
              </w:rPr>
              <w:t>25%</w:t>
            </w:r>
          </w:p>
        </w:tc>
        <w:tc>
          <w:tcPr>
            <w:tcW w:w="495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141D07E3" w14:textId="77777777" w:rsidR="00504803" w:rsidRDefault="00000000">
            <w:r>
              <w:rPr>
                <w:sz w:val="19"/>
                <w:szCs w:val="19"/>
              </w:rPr>
              <w:t>A named decision-maker takes a stated action that changes with the prediction.</w:t>
            </w:r>
          </w:p>
        </w:tc>
      </w:tr>
      <w:tr w:rsidR="00504803" w14:paraId="0EB7C90C" w14:textId="77777777">
        <w:tblPrEx>
          <w:tblCellMar>
            <w:top w:w="0" w:type="dxa"/>
            <w:bottom w:w="0" w:type="dxa"/>
          </w:tblCellMar>
        </w:tblPrEx>
        <w:tc>
          <w:tcPr>
            <w:tcW w:w="26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F9EA2D0" w14:textId="77777777" w:rsidR="00504803" w:rsidRDefault="00000000">
            <w:r>
              <w:rPr>
                <w:b/>
                <w:bCs/>
                <w:sz w:val="19"/>
                <w:szCs w:val="19"/>
              </w:rPr>
              <w:t>Success &amp; cost of error</w:t>
            </w:r>
          </w:p>
        </w:tc>
        <w:tc>
          <w:tcPr>
            <w:tcW w:w="9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63D8E29F" w14:textId="77777777" w:rsidR="00504803" w:rsidRDefault="00000000">
            <w:pPr>
              <w:jc w:val="center"/>
            </w:pPr>
            <w:r>
              <w:rPr>
                <w:b/>
                <w:bCs/>
                <w:color w:val="A6192E"/>
                <w:sz w:val="19"/>
                <w:szCs w:val="19"/>
              </w:rPr>
              <w:t>25%</w:t>
            </w:r>
          </w:p>
        </w:tc>
        <w:tc>
          <w:tcPr>
            <w:tcW w:w="49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127ADE88" w14:textId="77777777" w:rsidR="00504803" w:rsidRDefault="00000000">
            <w:r>
              <w:rPr>
                <w:sz w:val="19"/>
                <w:szCs w:val="19"/>
              </w:rPr>
              <w:t xml:space="preserve">Success in business units with a defensible number; both error directions costed; asymmetry </w:t>
            </w:r>
            <w:proofErr w:type="spellStart"/>
            <w:r>
              <w:rPr>
                <w:sz w:val="19"/>
                <w:szCs w:val="19"/>
              </w:rPr>
              <w:t>recognised</w:t>
            </w:r>
            <w:proofErr w:type="spellEnd"/>
            <w:r>
              <w:rPr>
                <w:sz w:val="19"/>
                <w:szCs w:val="19"/>
              </w:rPr>
              <w:t>.</w:t>
            </w:r>
          </w:p>
        </w:tc>
      </w:tr>
      <w:tr w:rsidR="00504803" w14:paraId="7283CFF1" w14:textId="77777777">
        <w:tblPrEx>
          <w:tblCellMar>
            <w:top w:w="0" w:type="dxa"/>
            <w:bottom w:w="0" w:type="dxa"/>
          </w:tblCellMar>
        </w:tblPrEx>
        <w:tc>
          <w:tcPr>
            <w:tcW w:w="26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3BA88955" w14:textId="77777777" w:rsidR="00504803" w:rsidRDefault="00000000">
            <w:r>
              <w:rPr>
                <w:b/>
                <w:bCs/>
                <w:sz w:val="19"/>
                <w:szCs w:val="19"/>
              </w:rPr>
              <w:t>Baseline &amp; feasibility</w:t>
            </w:r>
          </w:p>
        </w:tc>
        <w:tc>
          <w:tcPr>
            <w:tcW w:w="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4BA94FA7" w14:textId="77777777" w:rsidR="00504803" w:rsidRDefault="00000000">
            <w:pPr>
              <w:jc w:val="center"/>
            </w:pPr>
            <w:r>
              <w:rPr>
                <w:b/>
                <w:bCs/>
                <w:color w:val="A6192E"/>
                <w:sz w:val="19"/>
                <w:szCs w:val="19"/>
              </w:rPr>
              <w:t>10%</w:t>
            </w:r>
          </w:p>
        </w:tc>
        <w:tc>
          <w:tcPr>
            <w:tcW w:w="495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3961A856" w14:textId="77777777" w:rsidR="00504803" w:rsidRDefault="00000000">
            <w:r>
              <w:rPr>
                <w:sz w:val="19"/>
                <w:szCs w:val="19"/>
              </w:rPr>
              <w:t>Sensible dumb-guess baseline named; scope honest about this term's data.</w:t>
            </w:r>
          </w:p>
        </w:tc>
      </w:tr>
      <w:tr w:rsidR="00504803" w14:paraId="76B40E3C" w14:textId="77777777">
        <w:tblPrEx>
          <w:tblCellMar>
            <w:top w:w="0" w:type="dxa"/>
            <w:bottom w:w="0" w:type="dxa"/>
          </w:tblCellMar>
        </w:tblPrEx>
        <w:tc>
          <w:tcPr>
            <w:tcW w:w="26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45CD558C" w14:textId="77777777" w:rsidR="00504803" w:rsidRDefault="00000000">
            <w:r>
              <w:rPr>
                <w:b/>
                <w:bCs/>
                <w:sz w:val="19"/>
                <w:szCs w:val="19"/>
              </w:rPr>
              <w:t>Clarity &amp; reader fit</w:t>
            </w:r>
          </w:p>
        </w:tc>
        <w:tc>
          <w:tcPr>
            <w:tcW w:w="90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7157C595" w14:textId="77777777" w:rsidR="00504803" w:rsidRDefault="00000000">
            <w:pPr>
              <w:jc w:val="center"/>
            </w:pPr>
            <w:r>
              <w:rPr>
                <w:b/>
                <w:bCs/>
                <w:color w:val="A6192E"/>
                <w:sz w:val="19"/>
                <w:szCs w:val="19"/>
              </w:rPr>
              <w:t>10%</w:t>
            </w:r>
          </w:p>
        </w:tc>
        <w:tc>
          <w:tcPr>
            <w:tcW w:w="49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4F43CA48" w14:textId="77777777" w:rsidR="00504803" w:rsidRDefault="00000000">
            <w:r>
              <w:rPr>
                <w:sz w:val="19"/>
                <w:szCs w:val="19"/>
              </w:rPr>
              <w:t>A business reader understands every sentence; anchor memo speaks the named reader's language.</w:t>
            </w:r>
          </w:p>
        </w:tc>
      </w:tr>
    </w:tbl>
    <w:p w14:paraId="74930B14" w14:textId="77777777" w:rsidR="00504803" w:rsidRDefault="00000000">
      <w:pPr>
        <w:spacing w:before="80" w:after="60"/>
      </w:pPr>
      <w:r>
        <w:rPr>
          <w:b/>
          <w:bCs/>
          <w:color w:val="A6192E"/>
        </w:rPr>
        <w:t xml:space="preserve">House rules that apply: </w:t>
      </w:r>
      <w:r>
        <w:t>late policy −10%/calendar day (max 3); one re-review within 5 days with written basis; oral spot-checks — any canvas you cannot explain without notes is treated as unauthenticated. Framing has no “right answer”: two of you may frame the same area differently and both score Exemplary. What is graded is precision, honesty about error, and fit to the reader.</w:t>
      </w:r>
    </w:p>
    <w:p w14:paraId="481D0510" w14:textId="77777777" w:rsidR="00504803" w:rsidRDefault="00000000">
      <w:pPr>
        <w:spacing w:before="60" w:after="60"/>
      </w:pPr>
      <w:r>
        <w:rPr>
          <w:b/>
          <w:bCs/>
        </w:rPr>
        <w:t xml:space="preserve">Help available: </w:t>
      </w:r>
      <w:r>
        <w:t>your Week 2 bridging consultation doubles as a P1 feedback conversation — your rubric comes back there. Questions before Saturday: open an issue in the class repo.</w:t>
      </w:r>
    </w:p>
    <w:p w14:paraId="1C5807F6" w14:textId="77777777" w:rsidR="00504803" w:rsidRDefault="00000000">
      <w:r>
        <w:br w:type="page"/>
      </w:r>
    </w:p>
    <w:p w14:paraId="78363757" w14:textId="77777777" w:rsidR="00504803" w:rsidRDefault="00000000">
      <w:pPr>
        <w:spacing w:before="240" w:after="20"/>
      </w:pPr>
      <w:r>
        <w:rPr>
          <w:b/>
          <w:bCs/>
          <w:color w:val="A6192E"/>
          <w:spacing w:val="20"/>
          <w:sz w:val="17"/>
          <w:szCs w:val="17"/>
        </w:rPr>
        <w:lastRenderedPageBreak/>
        <w:t>WORKSHEET</w:t>
      </w:r>
    </w:p>
    <w:p w14:paraId="52F5EFAD" w14:textId="77777777" w:rsidR="00504803" w:rsidRDefault="00000000">
      <w:pPr>
        <w:spacing w:after="90"/>
      </w:pPr>
      <w:r>
        <w:rPr>
          <w:rFonts w:ascii="Cambria" w:eastAsia="Cambria" w:hAnsi="Cambria" w:cs="Cambria"/>
          <w:b/>
          <w:bCs/>
          <w:sz w:val="28"/>
          <w:szCs w:val="28"/>
        </w:rPr>
        <w:t>Framing canvas — one sheet per problem</w:t>
      </w:r>
    </w:p>
    <w:p w14:paraId="3FF8AF6B" w14:textId="77777777" w:rsidR="00504803" w:rsidRDefault="00000000">
      <w:pPr>
        <w:spacing w:before="60" w:after="60"/>
      </w:pPr>
      <w:r>
        <w:rPr>
          <w:b/>
          <w:bCs/>
        </w:rPr>
        <w:t xml:space="preserve">Function: </w:t>
      </w:r>
      <w:r>
        <w:t xml:space="preserve">MKT / FIN / HR / OPS          </w:t>
      </w:r>
      <w:r>
        <w:rPr>
          <w:b/>
          <w:bCs/>
        </w:rPr>
        <w:t xml:space="preserve">Anchor? </w:t>
      </w:r>
      <w:r>
        <w:t xml:space="preserve">Y / N          </w:t>
      </w:r>
      <w:r>
        <w:rPr>
          <w:b/>
          <w:bCs/>
        </w:rPr>
        <w:t xml:space="preserve">Name: </w:t>
      </w:r>
      <w:r>
        <w:t>______________________</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5550"/>
      </w:tblGrid>
      <w:tr w:rsidR="00504803" w14:paraId="769C96D6" w14:textId="77777777">
        <w:tblPrEx>
          <w:tblCellMar>
            <w:top w:w="0" w:type="dxa"/>
            <w:bottom w:w="0" w:type="dxa"/>
          </w:tblCellMar>
        </w:tblPrEx>
        <w:trPr>
          <w:tblHeader/>
        </w:trPr>
        <w:tc>
          <w:tcPr>
            <w:tcW w:w="2900" w:type="dxa"/>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426E611B" w14:textId="77777777" w:rsidR="00504803" w:rsidRDefault="00000000">
            <w:r>
              <w:rPr>
                <w:b/>
                <w:bCs/>
                <w:color w:val="FFFFFF"/>
                <w:sz w:val="18"/>
                <w:szCs w:val="18"/>
              </w:rPr>
              <w:t>Canvas field</w:t>
            </w:r>
          </w:p>
        </w:tc>
        <w:tc>
          <w:tcPr>
            <w:tcW w:w="5550" w:type="dxa"/>
            <w:tcBorders>
              <w:top w:val="single" w:sz="4" w:space="0" w:color="D9CFCF"/>
              <w:left w:val="single" w:sz="4" w:space="0" w:color="D9CFCF"/>
              <w:bottom w:val="single" w:sz="4" w:space="0" w:color="D9CFCF"/>
              <w:right w:val="single" w:sz="4" w:space="0" w:color="D9CFCF"/>
            </w:tcBorders>
            <w:shd w:val="clear" w:color="auto" w:fill="5C101D"/>
            <w:tcMar>
              <w:top w:w="60" w:type="dxa"/>
              <w:left w:w="100" w:type="dxa"/>
              <w:bottom w:w="60" w:type="dxa"/>
              <w:right w:w="100" w:type="dxa"/>
            </w:tcMar>
          </w:tcPr>
          <w:p w14:paraId="1F901C5B" w14:textId="77777777" w:rsidR="00504803" w:rsidRDefault="00000000">
            <w:r>
              <w:rPr>
                <w:b/>
                <w:bCs/>
                <w:color w:val="FFFFFF"/>
                <w:sz w:val="18"/>
                <w:szCs w:val="18"/>
              </w:rPr>
              <w:t>Your answer — business language, one disciplined line minimum</w:t>
            </w:r>
          </w:p>
        </w:tc>
      </w:tr>
      <w:tr w:rsidR="00504803" w14:paraId="6DED972B"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70539064" w14:textId="77777777" w:rsidR="00504803" w:rsidRDefault="00000000">
            <w:r>
              <w:rPr>
                <w:b/>
                <w:bCs/>
                <w:color w:val="A6192E"/>
                <w:sz w:val="19"/>
                <w:szCs w:val="19"/>
              </w:rPr>
              <w:t>1 · Business decision</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0D747E2" w14:textId="77777777" w:rsidR="00504803" w:rsidRDefault="00000000">
            <w:pPr>
              <w:spacing w:after="160"/>
            </w:pPr>
            <w:r>
              <w:t xml:space="preserve"> </w:t>
            </w:r>
          </w:p>
        </w:tc>
      </w:tr>
      <w:tr w:rsidR="00504803" w14:paraId="3D3CA90E"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4ECD464E" w14:textId="77777777" w:rsidR="00504803" w:rsidRDefault="00000000">
            <w:r>
              <w:rPr>
                <w:b/>
                <w:bCs/>
                <w:color w:val="A6192E"/>
                <w:sz w:val="19"/>
                <w:szCs w:val="19"/>
              </w:rPr>
              <w:t>2 · Decision-maker</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340EF794" w14:textId="77777777" w:rsidR="00504803" w:rsidRDefault="00000000">
            <w:pPr>
              <w:spacing w:after="160"/>
            </w:pPr>
            <w:r>
              <w:t xml:space="preserve"> </w:t>
            </w:r>
          </w:p>
        </w:tc>
      </w:tr>
      <w:tr w:rsidR="00504803" w14:paraId="45804B7C"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5B2E5214" w14:textId="77777777" w:rsidR="00504803" w:rsidRDefault="00000000">
            <w:r>
              <w:rPr>
                <w:b/>
                <w:bCs/>
                <w:color w:val="A6192E"/>
                <w:sz w:val="19"/>
                <w:szCs w:val="19"/>
              </w:rPr>
              <w:t>3 · Prediction question</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1B0FBADC" w14:textId="77777777" w:rsidR="00504803" w:rsidRDefault="00000000">
            <w:pPr>
              <w:spacing w:after="160"/>
            </w:pPr>
            <w:r>
              <w:t xml:space="preserve"> </w:t>
            </w:r>
          </w:p>
        </w:tc>
      </w:tr>
      <w:tr w:rsidR="00504803" w14:paraId="30C304B7"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65DCAB69" w14:textId="77777777" w:rsidR="00504803" w:rsidRDefault="00000000">
            <w:r>
              <w:rPr>
                <w:b/>
                <w:bCs/>
                <w:color w:val="A6192E"/>
                <w:sz w:val="19"/>
                <w:szCs w:val="19"/>
              </w:rPr>
              <w:t>4 · Target variable</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5DA8D367" w14:textId="77777777" w:rsidR="00504803" w:rsidRDefault="00000000">
            <w:pPr>
              <w:spacing w:after="160"/>
            </w:pPr>
            <w:r>
              <w:t xml:space="preserve"> </w:t>
            </w:r>
          </w:p>
        </w:tc>
      </w:tr>
      <w:tr w:rsidR="00504803" w14:paraId="3877043F"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4498A258" w14:textId="77777777" w:rsidR="00504803" w:rsidRDefault="00000000">
            <w:r>
              <w:rPr>
                <w:b/>
                <w:bCs/>
                <w:color w:val="A6192E"/>
                <w:sz w:val="19"/>
                <w:szCs w:val="19"/>
              </w:rPr>
              <w:t>5 · Unit of analysis</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2E98D6D9" w14:textId="77777777" w:rsidR="00504803" w:rsidRDefault="00000000">
            <w:pPr>
              <w:spacing w:after="160"/>
            </w:pPr>
            <w:r>
              <w:t xml:space="preserve"> </w:t>
            </w:r>
          </w:p>
        </w:tc>
      </w:tr>
      <w:tr w:rsidR="00504803" w14:paraId="7D7D08DB"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48EAAE51" w14:textId="77777777" w:rsidR="00504803" w:rsidRDefault="00000000">
            <w:r>
              <w:rPr>
                <w:b/>
                <w:bCs/>
                <w:color w:val="A6192E"/>
                <w:sz w:val="19"/>
                <w:szCs w:val="19"/>
              </w:rPr>
              <w:t>6 · Prediction horizon</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6E2E3390" w14:textId="77777777" w:rsidR="00504803" w:rsidRDefault="00000000">
            <w:pPr>
              <w:spacing w:after="160"/>
            </w:pPr>
            <w:r>
              <w:t xml:space="preserve"> </w:t>
            </w:r>
          </w:p>
        </w:tc>
      </w:tr>
      <w:tr w:rsidR="00504803" w14:paraId="2FB2C290"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40C9A8D4" w14:textId="77777777" w:rsidR="00504803" w:rsidRDefault="00000000">
            <w:r>
              <w:rPr>
                <w:b/>
                <w:bCs/>
                <w:color w:val="A6192E"/>
                <w:sz w:val="19"/>
                <w:szCs w:val="19"/>
              </w:rPr>
              <w:t>7 · Candidate predictors</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135E9CD1" w14:textId="77777777" w:rsidR="00504803" w:rsidRDefault="00000000">
            <w:pPr>
              <w:spacing w:after="160"/>
            </w:pPr>
            <w:r>
              <w:t xml:space="preserve"> </w:t>
            </w:r>
          </w:p>
        </w:tc>
      </w:tr>
      <w:tr w:rsidR="00504803" w14:paraId="5E6BE90B"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77DED079" w14:textId="77777777" w:rsidR="00504803" w:rsidRDefault="00000000">
            <w:r>
              <w:rPr>
                <w:b/>
                <w:bCs/>
                <w:color w:val="A6192E"/>
                <w:sz w:val="19"/>
                <w:szCs w:val="19"/>
              </w:rPr>
              <w:t>8 · Decision action</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39F09AB5" w14:textId="77777777" w:rsidR="00504803" w:rsidRDefault="00000000">
            <w:pPr>
              <w:spacing w:after="160"/>
            </w:pPr>
            <w:r>
              <w:t xml:space="preserve"> </w:t>
            </w:r>
          </w:p>
        </w:tc>
      </w:tr>
      <w:tr w:rsidR="00504803" w14:paraId="5C7CEEC0"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6CD83C49" w14:textId="77777777" w:rsidR="00504803" w:rsidRDefault="00000000">
            <w:r>
              <w:rPr>
                <w:b/>
                <w:bCs/>
                <w:color w:val="A6192E"/>
                <w:sz w:val="19"/>
                <w:szCs w:val="19"/>
              </w:rPr>
              <w:t>9 · Success criteria</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3E8DAEEF" w14:textId="77777777" w:rsidR="00504803" w:rsidRDefault="00000000">
            <w:pPr>
              <w:spacing w:after="160"/>
            </w:pPr>
            <w:r>
              <w:t xml:space="preserve"> </w:t>
            </w:r>
          </w:p>
        </w:tc>
      </w:tr>
      <w:tr w:rsidR="00504803" w14:paraId="444B550A"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3FE0131E" w14:textId="77777777" w:rsidR="00504803" w:rsidRDefault="00000000">
            <w:r>
              <w:rPr>
                <w:b/>
                <w:bCs/>
                <w:color w:val="A6192E"/>
                <w:sz w:val="19"/>
                <w:szCs w:val="19"/>
              </w:rPr>
              <w:t>10 · Cost of error, both ways</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124A37CC" w14:textId="77777777" w:rsidR="00504803" w:rsidRDefault="00000000">
            <w:pPr>
              <w:spacing w:after="160"/>
            </w:pPr>
            <w:r>
              <w:t xml:space="preserve"> </w:t>
            </w:r>
          </w:p>
        </w:tc>
      </w:tr>
      <w:tr w:rsidR="00504803" w14:paraId="3E1E35E3"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BF1F2"/>
            <w:tcMar>
              <w:top w:w="60" w:type="dxa"/>
              <w:left w:w="100" w:type="dxa"/>
              <w:bottom w:w="60" w:type="dxa"/>
              <w:right w:w="100" w:type="dxa"/>
            </w:tcMar>
          </w:tcPr>
          <w:p w14:paraId="190A48DC" w14:textId="77777777" w:rsidR="00504803" w:rsidRDefault="00000000">
            <w:r>
              <w:rPr>
                <w:b/>
                <w:bCs/>
                <w:color w:val="A6192E"/>
                <w:sz w:val="19"/>
                <w:szCs w:val="19"/>
              </w:rPr>
              <w:t>11 · Baseline to beat</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3A99ECCD" w14:textId="77777777" w:rsidR="00504803" w:rsidRDefault="00000000">
            <w:pPr>
              <w:spacing w:after="160"/>
            </w:pPr>
            <w:r>
              <w:t xml:space="preserve"> </w:t>
            </w:r>
          </w:p>
        </w:tc>
      </w:tr>
      <w:tr w:rsidR="00504803" w14:paraId="52B5210F" w14:textId="77777777">
        <w:tblPrEx>
          <w:tblCellMar>
            <w:top w:w="0" w:type="dxa"/>
            <w:bottom w:w="0" w:type="dxa"/>
          </w:tblCellMar>
        </w:tblPrEx>
        <w:tc>
          <w:tcPr>
            <w:tcW w:w="2900" w:type="dxa"/>
            <w:tcBorders>
              <w:top w:val="single" w:sz="4" w:space="0" w:color="D9CFCF"/>
              <w:left w:val="single" w:sz="4" w:space="0" w:color="D9CFCF"/>
              <w:bottom w:val="single" w:sz="4" w:space="0" w:color="D9CFCF"/>
              <w:right w:val="single" w:sz="4" w:space="0" w:color="D9CFCF"/>
            </w:tcBorders>
            <w:shd w:val="clear" w:color="auto" w:fill="F5F4F4"/>
            <w:tcMar>
              <w:top w:w="60" w:type="dxa"/>
              <w:left w:w="100" w:type="dxa"/>
              <w:bottom w:w="60" w:type="dxa"/>
              <w:right w:w="100" w:type="dxa"/>
            </w:tcMar>
          </w:tcPr>
          <w:p w14:paraId="28060EE5" w14:textId="77777777" w:rsidR="00504803" w:rsidRDefault="00000000">
            <w:r>
              <w:rPr>
                <w:b/>
                <w:bCs/>
                <w:color w:val="A6192E"/>
                <w:sz w:val="19"/>
                <w:szCs w:val="19"/>
              </w:rPr>
              <w:t>12 · Scope &amp; data ethics</w:t>
            </w:r>
          </w:p>
        </w:tc>
        <w:tc>
          <w:tcPr>
            <w:tcW w:w="5550" w:type="dxa"/>
            <w:tcBorders>
              <w:top w:val="single" w:sz="4" w:space="0" w:color="D9CFCF"/>
              <w:left w:val="single" w:sz="4" w:space="0" w:color="D9CFCF"/>
              <w:bottom w:val="single" w:sz="4" w:space="0" w:color="D9CFCF"/>
              <w:right w:val="single" w:sz="4" w:space="0" w:color="D9CFCF"/>
            </w:tcBorders>
            <w:shd w:val="clear" w:color="auto" w:fill="FFFFFF"/>
            <w:tcMar>
              <w:top w:w="60" w:type="dxa"/>
              <w:left w:w="100" w:type="dxa"/>
              <w:bottom w:w="60" w:type="dxa"/>
              <w:right w:w="100" w:type="dxa"/>
            </w:tcMar>
          </w:tcPr>
          <w:p w14:paraId="0B764155" w14:textId="77777777" w:rsidR="00504803" w:rsidRDefault="00000000">
            <w:pPr>
              <w:spacing w:after="160"/>
            </w:pPr>
            <w:r>
              <w:t xml:space="preserve"> </w:t>
            </w:r>
          </w:p>
        </w:tc>
      </w:tr>
    </w:tbl>
    <w:p w14:paraId="09C22BB9" w14:textId="77777777" w:rsidR="00501261" w:rsidRDefault="00501261"/>
    <w:sectPr w:rsidR="00501261">
      <w:footerReference w:type="default" r:id="rId7"/>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F7E4EC" w14:textId="77777777" w:rsidR="00501261" w:rsidRDefault="00501261">
      <w:r>
        <w:separator/>
      </w:r>
    </w:p>
  </w:endnote>
  <w:endnote w:type="continuationSeparator" w:id="0">
    <w:p w14:paraId="008AD1D0" w14:textId="77777777" w:rsidR="00501261" w:rsidRDefault="00501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7812E" w14:textId="77777777" w:rsidR="00504803" w:rsidRDefault="00000000">
    <w:pPr>
      <w:jc w:val="center"/>
    </w:pPr>
    <w:r>
      <w:rPr>
        <w:color w:val="7A6E6E"/>
        <w:sz w:val="16"/>
        <w:szCs w:val="16"/>
      </w:rPr>
      <w:t xml:space="preserve">BDAT05 · P1 Problem-Framing Portfolio · Page </w:t>
    </w:r>
    <w:r>
      <w:rPr>
        <w:color w:val="7A6E6E"/>
        <w:sz w:val="16"/>
        <w:szCs w:val="16"/>
      </w:rPr>
      <w:fldChar w:fldCharType="begin"/>
    </w:r>
    <w:r>
      <w:rPr>
        <w:color w:val="7A6E6E"/>
        <w:sz w:val="16"/>
        <w:szCs w:val="16"/>
      </w:rPr>
      <w:instrText>PAGE</w:instrText>
    </w:r>
    <w:r>
      <w:rPr>
        <w:color w:val="7A6E6E"/>
        <w:sz w:val="16"/>
        <w:szCs w:val="16"/>
      </w:rPr>
      <w:fldChar w:fldCharType="separate"/>
    </w:r>
    <w:r w:rsidR="00E87111">
      <w:rPr>
        <w:noProof/>
        <w:color w:val="7A6E6E"/>
        <w:sz w:val="16"/>
        <w:szCs w:val="16"/>
      </w:rPr>
      <w:t>1</w:t>
    </w:r>
    <w:r>
      <w:rPr>
        <w:color w:val="7A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7BB2B0" w14:textId="77777777" w:rsidR="00501261" w:rsidRDefault="00501261">
      <w:r>
        <w:separator/>
      </w:r>
    </w:p>
  </w:footnote>
  <w:footnote w:type="continuationSeparator" w:id="0">
    <w:p w14:paraId="79FB5D59" w14:textId="77777777" w:rsidR="00501261" w:rsidRDefault="005012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CA68C5"/>
    <w:multiLevelType w:val="hybridMultilevel"/>
    <w:tmpl w:val="482049E4"/>
    <w:lvl w:ilvl="0" w:tplc="2E3C31E6">
      <w:start w:val="1"/>
      <w:numFmt w:val="bullet"/>
      <w:lvlText w:val="●"/>
      <w:lvlJc w:val="left"/>
      <w:pPr>
        <w:ind w:left="720" w:hanging="360"/>
      </w:pPr>
    </w:lvl>
    <w:lvl w:ilvl="1" w:tplc="C032B95C">
      <w:start w:val="1"/>
      <w:numFmt w:val="bullet"/>
      <w:lvlText w:val="○"/>
      <w:lvlJc w:val="left"/>
      <w:pPr>
        <w:ind w:left="1440" w:hanging="360"/>
      </w:pPr>
    </w:lvl>
    <w:lvl w:ilvl="2" w:tplc="6C14C0CE">
      <w:start w:val="1"/>
      <w:numFmt w:val="bullet"/>
      <w:lvlText w:val="■"/>
      <w:lvlJc w:val="left"/>
      <w:pPr>
        <w:ind w:left="2160" w:hanging="360"/>
      </w:pPr>
    </w:lvl>
    <w:lvl w:ilvl="3" w:tplc="1040C26A">
      <w:start w:val="1"/>
      <w:numFmt w:val="bullet"/>
      <w:lvlText w:val="●"/>
      <w:lvlJc w:val="left"/>
      <w:pPr>
        <w:ind w:left="2880" w:hanging="360"/>
      </w:pPr>
    </w:lvl>
    <w:lvl w:ilvl="4" w:tplc="F43C31A6">
      <w:start w:val="1"/>
      <w:numFmt w:val="bullet"/>
      <w:lvlText w:val="○"/>
      <w:lvlJc w:val="left"/>
      <w:pPr>
        <w:ind w:left="3600" w:hanging="360"/>
      </w:pPr>
    </w:lvl>
    <w:lvl w:ilvl="5" w:tplc="0E16E824">
      <w:start w:val="1"/>
      <w:numFmt w:val="bullet"/>
      <w:lvlText w:val="■"/>
      <w:lvlJc w:val="left"/>
      <w:pPr>
        <w:ind w:left="4320" w:hanging="360"/>
      </w:pPr>
    </w:lvl>
    <w:lvl w:ilvl="6" w:tplc="52644464">
      <w:start w:val="1"/>
      <w:numFmt w:val="bullet"/>
      <w:lvlText w:val="●"/>
      <w:lvlJc w:val="left"/>
      <w:pPr>
        <w:ind w:left="5040" w:hanging="360"/>
      </w:pPr>
    </w:lvl>
    <w:lvl w:ilvl="7" w:tplc="2F62384A">
      <w:start w:val="1"/>
      <w:numFmt w:val="bullet"/>
      <w:lvlText w:val="●"/>
      <w:lvlJc w:val="left"/>
      <w:pPr>
        <w:ind w:left="5760" w:hanging="360"/>
      </w:pPr>
    </w:lvl>
    <w:lvl w:ilvl="8" w:tplc="C882DACE">
      <w:start w:val="1"/>
      <w:numFmt w:val="bullet"/>
      <w:lvlText w:val="●"/>
      <w:lvlJc w:val="left"/>
      <w:pPr>
        <w:ind w:left="6480" w:hanging="360"/>
      </w:pPr>
    </w:lvl>
  </w:abstractNum>
  <w:num w:numId="1" w16cid:durableId="179463901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803"/>
    <w:rsid w:val="00370964"/>
    <w:rsid w:val="00501261"/>
    <w:rsid w:val="00504803"/>
    <w:rsid w:val="00E8711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004BE2E8"/>
  <w15:docId w15:val="{4FBACE09-7015-D146-A0C7-C99CA9AAB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B2626"/>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1062</Words>
  <Characters>6060</Characters>
  <Application>Microsoft Office Word</Application>
  <DocSecurity>0</DocSecurity>
  <Lines>50</Lines>
  <Paragraphs>14</Paragraphs>
  <ScaleCrop>false</ScaleCrop>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Jerald  B. Bongalos</cp:lastModifiedBy>
  <cp:revision>2</cp:revision>
  <dcterms:created xsi:type="dcterms:W3CDTF">2026-08-17T16:15:00Z</dcterms:created>
  <dcterms:modified xsi:type="dcterms:W3CDTF">2026-08-17T16:23:00Z</dcterms:modified>
</cp:coreProperties>
</file>