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  <w:szCs w:val="32"/>
        </w:rPr>
        <w:t xml:space="preserve">Local BDRRM Practice Note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Synthesis for Barangay San Agustin, Novaliches, Quezon City</w:t>
      </w:r>
    </w:p>
    <w:p>
      <w:pPr>
        <w:spacing w:after="60"/>
      </w:pPr>
      <w:r>
        <w:rPr>
          <w:i/>
          <w:sz w:val="20"/>
          <w:szCs w:val="20"/>
        </w:rPr>
        <w:t xml:space="preserve">Document type: Other (BDRRM study &amp; policy synthesis)</w:t>
      </w:r>
    </w:p>
    <w:p>
      <w:pPr>
        <w:spacing w:after="60"/>
      </w:pPr>
      <w:r>
        <w:rPr>
          <w:i/>
          <w:sz w:val="20"/>
          <w:szCs w:val="20"/>
        </w:rPr>
        <w:t xml:space="preserve">Use: Capstone justification for simulation-based training in the barangay</w:t>
      </w:r>
    </w:p>
    <w:p>
      <w:pPr>
        <w:spacing w:before="280" w:after="120"/>
      </w:pPr>
      <w:r>
        <w:rPr>
          <w:b/>
          <w:sz w:val="26"/>
          <w:szCs w:val="26"/>
        </w:rPr>
        <w:t xml:space="preserve">1. Why this note matters for defense</w:t>
      </w:r>
    </w:p>
    <w:p>
      <w:pPr>
        <w:jc w:val="both"/>
        <w:spacing w:after="160"/>
      </w:pPr>
      <w:r>
        <w:rPr>
          <w:sz w:val="21"/>
          <w:szCs w:val="21"/>
        </w:rPr>
        <w:t xml:space="preserve">Selecting San Agustin as the focus barangay is not arbitrary. Public drainage-assessment coverage and local research on Barangay Disaster Risk Reduction and Management (BDRRM) practice both point to the need for stronger drills, early-warning familiarity, and household emergency planning. This note synthesizes those sources so the training platform can be defended as community-grounded, policy-aligned, and pedagogically purposeful.</w:t>
      </w:r>
    </w:p>
    <w:p>
      <w:pPr>
        <w:spacing w:before="280" w:after="120"/>
      </w:pPr>
      <w:r>
        <w:rPr>
          <w:b/>
          <w:sz w:val="26"/>
          <w:szCs w:val="26"/>
        </w:rPr>
        <w:t xml:space="preserve">2. Policy Anchors (Philippines)</w:t>
      </w:r>
    </w:p>
    <w:p>
      <w:pPr>
        <w:ind w:left="360"/>
        <w:spacing w:after="80"/>
      </w:pPr>
      <w:r>
        <w:rPr>
          <w:sz w:val="21"/>
          <w:szCs w:val="21"/>
        </w:rPr>
        <w:t xml:space="preserve">• RA 10121 institutionalizes DRRM across national, regional, and local levels, including barangay DRRM committees and contingency planning.</w:t>
      </w:r>
    </w:p>
    <w:p>
      <w:pPr>
        <w:ind w:left="360"/>
        <w:spacing w:after="80"/>
      </w:pPr>
      <w:r>
        <w:rPr>
          <w:sz w:val="21"/>
          <w:szCs w:val="21"/>
        </w:rPr>
        <w:t xml:space="preserve">• NDRRMP pillars (Prevention/Mitigation, Preparedness, Response, Rehabilitation/Recovery) guide how exercises should be designed and evaluated.</w:t>
      </w:r>
    </w:p>
    <w:p>
      <w:pPr>
        <w:ind w:left="360"/>
        <w:spacing w:after="80"/>
      </w:pPr>
      <w:r>
        <w:rPr>
          <w:sz w:val="21"/>
          <w:szCs w:val="21"/>
        </w:rPr>
        <w:t xml:space="preserve">• LGU / barangay roles include risk communication, evacuation management, and coordination with city DRRM offices during hydro-meteorological events.</w:t>
      </w:r>
    </w:p>
    <w:p>
      <w:pPr>
        <w:spacing w:before="280" w:after="120"/>
      </w:pPr>
      <w:r>
        <w:rPr>
          <w:b/>
          <w:sz w:val="26"/>
          <w:szCs w:val="26"/>
        </w:rPr>
        <w:t xml:space="preserve">3. Local Study Snapshot — San Agustin BDRRM Implementation</w:t>
      </w:r>
    </w:p>
    <w:p>
      <w:pPr>
        <w:jc w:val="both"/>
        <w:spacing w:after="160"/>
      </w:pPr>
      <w:r>
        <w:rPr>
          <w:sz w:val="21"/>
          <w:szCs w:val="21"/>
        </w:rPr>
        <w:t xml:space="preserve">A published multidisciplinary research article examines implementation of BDRRM in Barangay San Agustin, Novaliches, Quezon City (Ascendens Asia Singapore – Bestlink College of the Philippines Journal of Multidisciplinary Research). For training-system design, the practical takeaway is that documented gaps commonly cluster around: frequency and quality of drills; clarity and reach of early-warning signals; and residents’ emergency planning behavior. These gaps justify building a platform that schedules simulation events, tracks attendance, and evaluates participant performance.</w:t>
      </w:r>
    </w:p>
    <w:p>
      <w:pPr>
        <w:spacing w:before="280" w:after="120"/>
      </w:pPr>
      <w:r>
        <w:rPr>
          <w:b/>
          <w:sz w:val="26"/>
          <w:szCs w:val="26"/>
        </w:rPr>
        <w:t xml:space="preserve">4. Link to the Training Platform Modules</w:t>
      </w:r>
    </w:p>
    <w:p>
      <w:pPr>
        <w:ind w:left="360"/>
        <w:spacing w:after="80"/>
      </w:pPr>
      <w:r>
        <w:rPr>
          <w:sz w:val="21"/>
          <w:szCs w:val="21"/>
        </w:rPr>
        <w:t xml:space="preserve">• Hazard Assessment Profile: encodes San Agustin multi-hazard context used to justify exercise scenarios.</w:t>
      </w:r>
    </w:p>
    <w:p>
      <w:pPr>
        <w:ind w:left="360"/>
        <w:spacing w:after="80"/>
      </w:pPr>
      <w:r>
        <w:rPr>
          <w:sz w:val="21"/>
          <w:szCs w:val="21"/>
        </w:rPr>
        <w:t xml:space="preserve">• Exercise / Simulation Planning: translates flood-first priorities into timeline injects and readiness checklists.</w:t>
      </w:r>
    </w:p>
    <w:p>
      <w:pPr>
        <w:ind w:left="360"/>
        <w:spacing w:after="80"/>
      </w:pPr>
      <w:r>
        <w:rPr>
          <w:sz w:val="21"/>
          <w:szCs w:val="21"/>
        </w:rPr>
        <w:t xml:space="preserve">• Attendance &amp; Evaluation: addresses the “drill practice” gap by making participation and learning outcomes measurable.</w:t>
      </w:r>
    </w:p>
    <w:p>
      <w:pPr>
        <w:ind w:left="360"/>
        <w:spacing w:after="80"/>
      </w:pPr>
      <w:r>
        <w:rPr>
          <w:sz w:val="21"/>
          <w:szCs w:val="21"/>
        </w:rPr>
        <w:t xml:space="preserve">• Notifications / Lifecycle Monitoring: supports early-warning communication rehearsal beyond paper plans.</w:t>
      </w:r>
    </w:p>
    <w:p>
      <w:pPr>
        <w:spacing w:before="280" w:after="120"/>
      </w:pPr>
      <w:r>
        <w:rPr>
          <w:b/>
          <w:sz w:val="26"/>
          <w:szCs w:val="26"/>
        </w:rPr>
        <w:t xml:space="preserve">5. Suggested Talking Points for Oral Defense</w:t>
      </w:r>
    </w:p>
    <w:p>
      <w:pPr>
        <w:ind w:left="360"/>
        <w:spacing w:after="80"/>
      </w:pPr>
      <w:r>
        <w:rPr>
          <w:sz w:val="21"/>
          <w:szCs w:val="21"/>
        </w:rPr>
        <w:t xml:space="preserve">• Community selection: San Agustin has both flood-coverage documentation (QCDMP) and BDRRM implementation literature.</w:t>
      </w:r>
    </w:p>
    <w:p>
      <w:pPr>
        <w:ind w:left="360"/>
        <w:spacing w:after="80"/>
      </w:pPr>
      <w:r>
        <w:rPr>
          <w:sz w:val="21"/>
          <w:szCs w:val="21"/>
        </w:rPr>
        <w:t xml:space="preserve">• Primary scenario: flood evacuation under typhoon/monsoon rainfall — highest operational relevance.</w:t>
      </w:r>
    </w:p>
    <w:p>
      <w:pPr>
        <w:ind w:left="360"/>
        <w:spacing w:after="80"/>
      </w:pPr>
      <w:r>
        <w:rPr>
          <w:sz w:val="21"/>
          <w:szCs w:val="21"/>
        </w:rPr>
        <w:t xml:space="preserve">• Secondary scenarios: earthquake awareness and fire egress in dense residential clusters.</w:t>
      </w:r>
    </w:p>
    <w:p>
      <w:pPr>
        <w:ind w:left="360"/>
        <w:spacing w:after="80"/>
      </w:pPr>
      <w:r>
        <w:rPr>
          <w:sz w:val="21"/>
          <w:szCs w:val="21"/>
        </w:rPr>
        <w:t xml:space="preserve">• Ethics / limits: seeded documents summarize public sources; live response must follow official LGU/PAGASA/PHIVOLCS issuances.</w:t>
      </w:r>
    </w:p>
    <w:p>
      <w:pPr>
        <w:ind w:left="360"/>
        <w:spacing w:after="80"/>
      </w:pPr>
      <w:r>
        <w:rPr>
          <w:sz w:val="21"/>
          <w:szCs w:val="21"/>
        </w:rPr>
        <w:t xml:space="preserve">• Contribution: the system operationalizes preparedness practice (plan → drill → evaluate → improve), not only static hazard listing.</w:t>
      </w:r>
    </w:p>
    <w:p>
      <w:pPr>
        <w:spacing w:before="280" w:after="120"/>
      </w:pPr>
      <w:r>
        <w:rPr>
          <w:b/>
          <w:sz w:val="26"/>
          <w:szCs w:val="26"/>
        </w:rPr>
        <w:t xml:space="preserve">6. References</w:t>
      </w:r>
    </w:p>
    <w:p>
      <w:pPr>
        <w:jc w:val="both"/>
        <w:spacing w:after="160"/>
      </w:pPr>
      <w:r>
        <w:rPr>
          <w:sz w:val="21"/>
          <w:szCs w:val="21"/>
        </w:rPr>
        <w:t xml:space="preserve">Ascendens Asia Singapore – Bestlink College of the Philippines. Implementation of Barangay Disaster Risk Reduction Management in Barangay San Agustin Novaliches Quezon City. Journal of Multidisciplinary Research, Vol. 4, No. 1. https://ojs.aaresearchindex.com/index.php/aasgbcpjmra/article/view/13917</w:t>
      </w:r>
    </w:p>
    <w:p>
      <w:pPr>
        <w:jc w:val="both"/>
        <w:spacing w:after="160"/>
      </w:pPr>
      <w:r>
        <w:rPr>
          <w:sz w:val="21"/>
          <w:szCs w:val="21"/>
        </w:rPr>
        <w:t xml:space="preserve">Republic Act No. 10121. (2010). Philippine Disaster Risk Reduction and Management Act of 2010.</w:t>
      </w:r>
    </w:p>
    <w:p>
      <w:pPr>
        <w:jc w:val="both"/>
        <w:spacing w:after="160"/>
      </w:pPr>
      <w:r>
        <w:rPr>
          <w:sz w:val="21"/>
          <w:szCs w:val="21"/>
        </w:rPr>
        <w:t xml:space="preserve">National Disaster Risk Reduction and Management Council. National Disaster Risk Reduction and Management Plan (NDRRMP).</w:t>
      </w:r>
    </w:p>
    <w:p>
      <w:pPr>
        <w:jc w:val="both"/>
        <w:spacing w:after="160"/>
      </w:pPr>
      <w:r>
        <w:rPr>
          <w:sz w:val="21"/>
          <w:szCs w:val="21"/>
        </w:rPr>
        <w:t xml:space="preserve">Quezon City Government. (n.d.). Quezon City Drainage Master Plan portal materials. https://quezoncity.gov.ph/qc-profile/drainage-master-plan/</w:t>
      </w:r>
    </w:p>
    <w:p>
      <w:pPr>
        <w:jc w:val="both"/>
        <w:spacing w:after="160"/>
      </w:pPr>
      <w:r>
        <w:rPr>
          <w:sz w:val="21"/>
          <w:szCs w:val="21"/>
        </w:rPr>
        <w:t xml:space="preserve">Office of Civil Defense. Barangay / community DRRM capacity development references.</w:t>
      </w:r>
    </w:p>
    <w:p>
      <w:pPr>
        <w:jc w:val="both"/>
        <w:spacing w:after="160"/>
      </w:pPr>
      <w:r>
        <w:rPr>
          <w:sz w:val="21"/>
          <w:szCs w:val="21"/>
        </w:rPr>
        <w:t xml:space="preserve">UNDRR. Sendai Framework for Disaster Risk Reduction 2015–2030.</w:t>
      </w:r>
    </w:p>
    <w:p>
      <w:pPr>
        <w:jc w:val="both"/>
        <w:spacing w:after="160"/>
      </w:pPr>
      <w:r>
        <w:rPr>
          <w:sz w:val="21"/>
          <w:szCs w:val="21"/>
        </w:rPr>
        <w:t xml:space="preserve">PAGASA-DOST &amp; PHIVOLCS-DOST. National hydro-meteorological and seismic public information services used as hazard context sources.</w:t>
      </w:r>
    </w:p>
    <w:p>
      <w:pPr>
        <w:spacing w:after="60"/>
      </w:pPr>
      <w:r>
        <w:rPr>
          <w:i/>
          <w:sz w:val="20"/>
          <w:szCs w:val="20"/>
        </w:rPr>
        <w:t xml:space="preserve">End of document — Local BDRRM Practice Note (San Agustin, QC)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
<Relationships xmlns="http://schemas.openxmlformats.org/package/2006/relationships">
</Relationships>
</file>