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sz w:val="32"/>
          <w:szCs w:val="32"/>
        </w:rPr>
        <w:t xml:space="preserve">Barangay Hazard Assessment Report</w:t>
      </w:r>
    </w:p>
    <w:p>
      <w:pPr>
        <w:jc w:val="center"/>
        <w:spacing w:after="120"/>
      </w:pPr>
      <w:r>
        <w:rPr>
          <w:i/>
          <w:sz w:val="22"/>
          <w:szCs w:val="22"/>
        </w:rPr>
        <w:t xml:space="preserve">Barangay San Agustin, Novaliches, Quezon City — Profile Year 2025</w:t>
      </w:r>
    </w:p>
    <w:p>
      <w:pPr>
        <w:spacing w:after="60"/>
      </w:pPr>
      <w:r>
        <w:rPr>
          <w:i/>
          <w:sz w:val="20"/>
          <w:szCs w:val="20"/>
        </w:rPr>
        <w:t xml:space="preserve">Document type: Hazard Assessment Report</w:t>
      </w:r>
    </w:p>
    <w:p>
      <w:pPr>
        <w:spacing w:after="60"/>
      </w:pPr>
      <w:r>
        <w:rPr>
          <w:i/>
          <w:sz w:val="20"/>
          <w:szCs w:val="20"/>
        </w:rPr>
        <w:t xml:space="preserve">Scope: Capstone reference profile for simulation-based DRRM training</w:t>
      </w:r>
    </w:p>
    <w:p>
      <w:pPr>
        <w:spacing w:after="60"/>
      </w:pPr>
      <w:r>
        <w:rPr>
          <w:i/>
          <w:sz w:val="20"/>
          <w:szCs w:val="20"/>
        </w:rPr>
        <w:t xml:space="preserve">Risk framing: Risk ≈ Hazard × Exposure × Vulnerability (qualitative LGU-oriented scoring)</w:t>
      </w:r>
    </w:p>
    <w:p>
      <w:pPr>
        <w:spacing w:before="280" w:after="120"/>
      </w:pPr>
      <w:r>
        <w:rPr>
          <w:b/>
          <w:sz w:val="26"/>
          <w:szCs w:val="26"/>
        </w:rPr>
        <w:t xml:space="preserve">1. Executive Summary</w:t>
      </w:r>
    </w:p>
    <w:p>
      <w:pPr>
        <w:jc w:val="both"/>
        <w:spacing w:after="160"/>
      </w:pPr>
      <w:r>
        <w:rPr>
          <w:sz w:val="21"/>
          <w:szCs w:val="21"/>
        </w:rPr>
        <w:t xml:space="preserve">This report presents a barangay-level multi-hazard assessment for San Agustin, Quezon City, prepared as a supporting document for a disaster preparedness training and simulation information system. Flood and typhoon are rated High based on urban drainage exposure and tropical cyclone rainfall/wind compounding. Earthquake and fire are rated Moderate based on Metro Manila ground-shaking context and dense residential fire-spread potential. The assessment supports selecting San Agustin as the capstone community for drills that emphasize early warning, evacuation coordination, and after-action evaluation.</w:t>
      </w:r>
    </w:p>
    <w:p>
      <w:pPr>
        <w:spacing w:before="280" w:after="120"/>
      </w:pPr>
      <w:r>
        <w:rPr>
          <w:b/>
          <w:sz w:val="26"/>
          <w:szCs w:val="26"/>
        </w:rPr>
        <w:t xml:space="preserve">2. Location and Socio-Physical Context</w:t>
      </w:r>
    </w:p>
    <w:p>
      <w:pPr>
        <w:ind w:left="360"/>
        <w:spacing w:after="80"/>
      </w:pPr>
      <w:r>
        <w:rPr>
          <w:sz w:val="21"/>
          <w:szCs w:val="21"/>
        </w:rPr>
        <w:t xml:space="preserve">• Administrative location: Barangay San Agustin, District 5 (Novaliches area), Quezon City, NCR</w:t>
      </w:r>
    </w:p>
    <w:p>
      <w:pPr>
        <w:ind w:left="360"/>
        <w:spacing w:after="80"/>
      </w:pPr>
      <w:r>
        <w:rPr>
          <w:sz w:val="21"/>
          <w:szCs w:val="21"/>
        </w:rPr>
        <w:t xml:space="preserve">• Settlement character: Urban / densely built residential fabric with constrained access lanes in places</w:t>
      </w:r>
    </w:p>
    <w:p>
      <w:pPr>
        <w:ind w:left="360"/>
        <w:spacing w:after="80"/>
      </w:pPr>
      <w:r>
        <w:rPr>
          <w:sz w:val="21"/>
          <w:szCs w:val="21"/>
        </w:rPr>
        <w:t xml:space="preserve">• Approximate land area (profile): 1.15 km²</w:t>
      </w:r>
    </w:p>
    <w:p>
      <w:pPr>
        <w:ind w:left="360"/>
        <w:spacing w:after="80"/>
      </w:pPr>
      <w:r>
        <w:rPr>
          <w:sz w:val="21"/>
          <w:szCs w:val="21"/>
        </w:rPr>
        <w:t xml:space="preserve">• Approximate population / households (profile): 22,000 / 4,800</w:t>
      </w:r>
    </w:p>
    <w:p>
      <w:pPr>
        <w:ind w:left="360"/>
        <w:spacing w:after="80"/>
      </w:pPr>
      <w:r>
        <w:rPr>
          <w:sz w:val="21"/>
          <w:szCs w:val="21"/>
        </w:rPr>
        <w:t xml:space="preserve">• Contact baseline used in system profile: barangay LGU contact channels for coordination drills</w:t>
      </w:r>
    </w:p>
    <w:p>
      <w:pPr>
        <w:spacing w:before="280" w:after="120"/>
      </w:pPr>
      <w:r>
        <w:rPr>
          <w:b/>
          <w:sz w:val="26"/>
          <w:szCs w:val="26"/>
        </w:rPr>
        <w:t xml:space="preserve">3. Methodology (for defense)</w:t>
      </w:r>
    </w:p>
    <w:p>
      <w:pPr>
        <w:jc w:val="both"/>
        <w:spacing w:after="160"/>
      </w:pPr>
      <w:r>
        <w:rPr>
          <w:sz w:val="21"/>
          <w:szCs w:val="21"/>
        </w:rPr>
        <w:t xml:space="preserve">The profile combines: (1) document review of Quezon City Drainage Master Plan coverage materials; (2) national hazard context from PAGASA (hydro-meteorological), PHIVOLCS / GeoRiskPH HazardHunterPH (seismic), and BFP urban fire preparedness framing; (3) local BDRRM implementation literature specific to San Agustin; and (4) qualitative risk scoring aligned with LGU training needs rather than engineering design flood depths. Scores are stored in the system as Flood 75 (High), Typhoon 75 (High), Earthquake 50 (Moderate), and Fire 50 (Moderate).</w:t>
      </w:r>
    </w:p>
    <w:p>
      <w:pPr>
        <w:spacing w:before="280" w:after="120"/>
      </w:pPr>
      <w:r>
        <w:rPr>
          <w:b/>
          <w:sz w:val="26"/>
          <w:szCs w:val="26"/>
        </w:rPr>
        <w:t xml:space="preserve">4. Hazard Findings</w:t>
      </w:r>
    </w:p>
    <w:p>
      <w:pPr>
        <w:spacing w:before="280" w:after="120"/>
      </w:pPr>
      <w:r>
        <w:rPr>
          <w:b/>
          <w:sz w:val="22"/>
          <w:szCs w:val="22"/>
        </w:rPr>
        <w:t xml:space="preserve">4.1 Flood — High (Score 75)</w:t>
      </w:r>
    </w:p>
    <w:p>
      <w:pPr>
        <w:jc w:val="both"/>
        <w:spacing w:after="160"/>
      </w:pPr>
      <w:r>
        <w:rPr>
          <w:sz w:val="21"/>
          <w:szCs w:val="21"/>
        </w:rPr>
        <w:t xml:space="preserve">San Agustin is listed under QCDMP Phase I/II coverage with all-streets assessment context. Primary drivers: intense rainfall, limited drainage capacity, creek/tributary overflow, and prolonged ponding on low-lying residential streets. Exposure scope in the system: zone-specific (prioritize drainage-constrained streets and ponding hotspots). Source framing: MDRRMO / LGU drainage assessment references.</w:t>
      </w:r>
    </w:p>
    <w:p>
      <w:pPr>
        <w:spacing w:before="280" w:after="120"/>
      </w:pPr>
      <w:r>
        <w:rPr>
          <w:b/>
          <w:sz w:val="22"/>
          <w:szCs w:val="22"/>
        </w:rPr>
        <w:t xml:space="preserve">4.2 Typhoon — High (Score 75)</w:t>
      </w:r>
    </w:p>
    <w:p>
      <w:pPr>
        <w:jc w:val="both"/>
        <w:spacing w:after="160"/>
      </w:pPr>
      <w:r>
        <w:rPr>
          <w:sz w:val="21"/>
          <w:szCs w:val="21"/>
        </w:rPr>
        <w:t xml:space="preserve">Tropical cyclones bring extreme rainfall and strong winds that compound flooding and utility disruption (downed lines, interrupted access). Exposure is treated as barangay-wide because wind and rainfall can affect residential blocks across San Agustin. Source framing: PAGASA NCR tropical cyclone / monsoon context.</w:t>
      </w:r>
    </w:p>
    <w:p>
      <w:pPr>
        <w:spacing w:before="280" w:after="120"/>
      </w:pPr>
      <w:r>
        <w:rPr>
          <w:b/>
          <w:sz w:val="22"/>
          <w:szCs w:val="22"/>
        </w:rPr>
        <w:t xml:space="preserve">4.3 Earthquake — Moderate (Score 50)</w:t>
      </w:r>
    </w:p>
    <w:p>
      <w:pPr>
        <w:jc w:val="both"/>
        <w:spacing w:after="160"/>
      </w:pPr>
      <w:r>
        <w:rPr>
          <w:sz w:val="21"/>
          <w:szCs w:val="21"/>
        </w:rPr>
        <w:t xml:space="preserve">Metro Manila, including Quezon City, is exposed to damaging ground shaking from the West Valley Fault and other regional sources. Barangay preparedness should assume strong shaking scenarios for drills (drop-cover-hold, evacuation to open assembly areas, utility shutoff awareness). Use HazardHunterPH / PHIVOLCS products for location screening. Exposure: barangay-wide.</w:t>
      </w:r>
    </w:p>
    <w:p>
      <w:pPr>
        <w:spacing w:before="280" w:after="120"/>
      </w:pPr>
      <w:r>
        <w:rPr>
          <w:b/>
          <w:sz w:val="22"/>
          <w:szCs w:val="22"/>
        </w:rPr>
        <w:t xml:space="preserve">4.4 Fire — Moderate (Score 50)</w:t>
      </w:r>
    </w:p>
    <w:p>
      <w:pPr>
        <w:jc w:val="both"/>
        <w:spacing w:after="160"/>
      </w:pPr>
      <w:r>
        <w:rPr>
          <w:sz w:val="21"/>
          <w:szCs w:val="21"/>
        </w:rPr>
        <w:t xml:space="preserve">Compact housing, narrow lanes, and electrical loading create moderate structural fire-spread risk. Fire can ignite anywhere; spread risk is higher where houses are adjacent and egress is constrained (pattern-based exposure). Community fire drills and egress planning remain priority BDRRM activities alongside flood readiness. Source framing: BFP / LGU fire safety preparedness.</w:t>
      </w:r>
    </w:p>
    <w:p>
      <w:pPr>
        <w:spacing w:before="280" w:after="120"/>
      </w:pPr>
      <w:r>
        <w:rPr>
          <w:b/>
          <w:sz w:val="26"/>
          <w:szCs w:val="26"/>
        </w:rPr>
        <w:t xml:space="preserve">5. Cross-Cutting Vulnerabilities</w:t>
      </w:r>
    </w:p>
    <w:p>
      <w:pPr>
        <w:ind w:left="360"/>
        <w:spacing w:after="80"/>
      </w:pPr>
      <w:r>
        <w:rPr>
          <w:sz w:val="21"/>
          <w:szCs w:val="21"/>
        </w:rPr>
        <w:t xml:space="preserve">• Urban density and mixed building stock increase consequence of flood depth and fire spread.</w:t>
      </w:r>
    </w:p>
    <w:p>
      <w:pPr>
        <w:ind w:left="360"/>
        <w:spacing w:after="80"/>
      </w:pPr>
      <w:r>
        <w:rPr>
          <w:sz w:val="21"/>
          <w:szCs w:val="21"/>
        </w:rPr>
        <w:t xml:space="preserve">• Vulnerable groups (elderly, PWDs, young children) require assisted evacuation planning in flood scenarios.</w:t>
      </w:r>
    </w:p>
    <w:p>
      <w:pPr>
        <w:ind w:left="360"/>
        <w:spacing w:after="80"/>
      </w:pPr>
      <w:r>
        <w:rPr>
          <w:sz w:val="21"/>
          <w:szCs w:val="21"/>
        </w:rPr>
        <w:t xml:space="preserve">• Communication gaps during warnings reduce lead time — a recurring theme in local BDRRM studies.</w:t>
      </w:r>
    </w:p>
    <w:p>
      <w:pPr>
        <w:ind w:left="360"/>
        <w:spacing w:after="80"/>
      </w:pPr>
      <w:r>
        <w:rPr>
          <w:sz w:val="21"/>
          <w:szCs w:val="21"/>
        </w:rPr>
        <w:t xml:space="preserve">• Interdependence of hazards: typhoon rainfall escalates flood; earthquake may trigger secondary fire / access issues.</w:t>
      </w:r>
    </w:p>
    <w:p>
      <w:pPr>
        <w:spacing w:before="280" w:after="120"/>
      </w:pPr>
      <w:r>
        <w:rPr>
          <w:b/>
          <w:sz w:val="26"/>
          <w:szCs w:val="26"/>
        </w:rPr>
        <w:t xml:space="preserve">6. Recommended Capability Development</w:t>
      </w:r>
    </w:p>
    <w:p>
      <w:pPr>
        <w:ind w:left="360"/>
        <w:spacing w:after="80"/>
      </w:pPr>
      <w:r>
        <w:rPr>
          <w:sz w:val="21"/>
          <w:szCs w:val="21"/>
        </w:rPr>
        <w:t xml:space="preserve">• Regular flood evacuation + early-warning communication drills (primary).</w:t>
      </w:r>
    </w:p>
    <w:p>
      <w:pPr>
        <w:ind w:left="360"/>
        <w:spacing w:after="80"/>
      </w:pPr>
      <w:r>
        <w:rPr>
          <w:sz w:val="21"/>
          <w:szCs w:val="21"/>
        </w:rPr>
        <w:t xml:space="preserve">• Typhoon pre-landfall checklist exercises (household securing, shelter activation).</w:t>
      </w:r>
    </w:p>
    <w:p>
      <w:pPr>
        <w:ind w:left="360"/>
        <w:spacing w:after="80"/>
      </w:pPr>
      <w:r>
        <w:rPr>
          <w:sz w:val="21"/>
          <w:szCs w:val="21"/>
        </w:rPr>
        <w:t xml:space="preserve">• Earthquake drop-cover-hold and assembly-area drills (barangay-wide).</w:t>
      </w:r>
    </w:p>
    <w:p>
      <w:pPr>
        <w:ind w:left="360"/>
        <w:spacing w:after="80"/>
      </w:pPr>
      <w:r>
        <w:rPr>
          <w:sz w:val="21"/>
          <w:szCs w:val="21"/>
        </w:rPr>
        <w:t xml:space="preserve">• Fire egress and fire-lane keep-clear campaigns in dense clusters.</w:t>
      </w:r>
    </w:p>
    <w:p>
      <w:pPr>
        <w:ind w:left="360"/>
        <w:spacing w:after="80"/>
      </w:pPr>
      <w:r>
        <w:rPr>
          <w:sz w:val="21"/>
          <w:szCs w:val="21"/>
        </w:rPr>
        <w:t xml:space="preserve">• After-action reviews feeding the training platform evaluation module.</w:t>
      </w:r>
    </w:p>
    <w:p>
      <w:pPr>
        <w:spacing w:before="280" w:after="120"/>
      </w:pPr>
      <w:r>
        <w:rPr>
          <w:b/>
          <w:sz w:val="26"/>
          <w:szCs w:val="26"/>
        </w:rPr>
        <w:t xml:space="preserve">7. References</w:t>
      </w:r>
    </w:p>
    <w:p>
      <w:pPr>
        <w:jc w:val="both"/>
        <w:spacing w:after="160"/>
      </w:pPr>
      <w:r>
        <w:rPr>
          <w:sz w:val="21"/>
          <w:szCs w:val="21"/>
        </w:rPr>
        <w:t xml:space="preserve">Quezon City Government. (n.d.). Quezon City Drainage Master Plan (Phase I &amp; II). https://quezoncity.gov.ph/qc-profile/drainage-master-plan/</w:t>
      </w:r>
    </w:p>
    <w:p>
      <w:pPr>
        <w:jc w:val="both"/>
        <w:spacing w:after="160"/>
      </w:pPr>
      <w:r>
        <w:rPr>
          <w:sz w:val="21"/>
          <w:szCs w:val="21"/>
        </w:rPr>
        <w:t xml:space="preserve">PAGASA-DOST. (n.d.). Weather, monsoon, and tropical cyclone information services. https://www.pagasa.dost.gov.ph/</w:t>
      </w:r>
    </w:p>
    <w:p>
      <w:pPr>
        <w:jc w:val="both"/>
        <w:spacing w:after="160"/>
      </w:pPr>
      <w:r>
        <w:rPr>
          <w:sz w:val="21"/>
          <w:szCs w:val="21"/>
        </w:rPr>
        <w:t xml:space="preserve">PHIVOLCS-DOST. (n.d.). Earthquake hazard maps and related geohazard information. https://www.phivolcs.dost.gov.ph/</w:t>
      </w:r>
    </w:p>
    <w:p>
      <w:pPr>
        <w:jc w:val="both"/>
        <w:spacing w:after="160"/>
      </w:pPr>
      <w:r>
        <w:rPr>
          <w:sz w:val="21"/>
          <w:szCs w:val="21"/>
        </w:rPr>
        <w:t xml:space="preserve">GeoRiskPH / HazardHunterPH. (n.d.). Multi-hazard screening map portal. https://hazardhunter.georisk.gov.ph/map</w:t>
      </w:r>
    </w:p>
    <w:p>
      <w:pPr>
        <w:jc w:val="both"/>
        <w:spacing w:after="160"/>
      </w:pPr>
      <w:r>
        <w:rPr>
          <w:sz w:val="21"/>
          <w:szCs w:val="21"/>
        </w:rPr>
        <w:t xml:space="preserve">Bureau of Fire Protection. (n.d.). Fire safety and community preparedness resources. https://bfp.gov.ph/</w:t>
      </w:r>
    </w:p>
    <w:p>
      <w:pPr>
        <w:jc w:val="both"/>
        <w:spacing w:after="160"/>
      </w:pPr>
      <w:r>
        <w:rPr>
          <w:sz w:val="21"/>
          <w:szCs w:val="21"/>
        </w:rPr>
        <w:t xml:space="preserve">Ascendens Asia / Bestlink College of the Philippines. Implementation of Barangay Disaster Risk Reduction Management in Barangay San Agustin Novaliches Quezon City. Ascendens Asia Singapore – Bestlink College Journal of Multidisciplinary Research. https://ojs.aaresearchindex.com/index.php/aasgbcpjmra/article/view/13917</w:t>
      </w:r>
    </w:p>
    <w:p>
      <w:pPr>
        <w:jc w:val="both"/>
        <w:spacing w:after="160"/>
      </w:pPr>
      <w:r>
        <w:rPr>
          <w:sz w:val="21"/>
          <w:szCs w:val="21"/>
        </w:rPr>
        <w:t xml:space="preserve">Republic Act No. 10121. (2010). Philippine Disaster Risk Reduction and Management Act of 2010.</w:t>
      </w:r>
    </w:p>
    <w:p>
      <w:pPr>
        <w:jc w:val="both"/>
        <w:spacing w:after="160"/>
      </w:pPr>
      <w:r>
        <w:rPr>
          <w:sz w:val="21"/>
          <w:szCs w:val="21"/>
        </w:rPr>
        <w:t xml:space="preserve">United Nations Office for Disaster Risk Reduction (UNDRR). Sendai Framework for Disaster Risk Reduction 2015–2030 (international policy alignment for risk understanding and preparedness).</w:t>
      </w:r>
    </w:p>
    <w:p>
      <w:pPr>
        <w:spacing w:after="60"/>
      </w:pPr>
      <w:r>
        <w:rPr>
          <w:i/>
          <w:sz w:val="20"/>
          <w:szCs w:val="20"/>
        </w:rPr>
        <w:t xml:space="preserve">End of document — Hazard Assessment Report 2025 (San Agustin, QC)</w:t>
      </w:r>
    </w:p>
    <w:sectPr>
      <w:pgSz w:w="12240" w:h="15840"/>
      <w:pgMar w:top="1440" w:right="1440" w:bottom="1440" w:left="1440"/>
    </w:sectPr>
  </w:body>
</w:document>
</file>

<file path=word/_rels/document.xml.rels><?xml version="1.0" encoding="UTF-8" standalone="yes"?>
<Relationships xmlns="http://schemas.openxmlformats.org/package/2006/relationships">
</Relationships>
</file>