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2"/>
          <w:szCs w:val="32"/>
        </w:rPr>
        <w:t xml:space="preserve">Flood Hazard Coverage Summary</w:t>
      </w:r>
    </w:p>
    <w:p>
      <w:pPr>
        <w:jc w:val="center"/>
        <w:spacing w:after="120"/>
      </w:pPr>
      <w:r>
        <w:rPr>
          <w:i/>
          <w:sz w:val="22"/>
          <w:szCs w:val="22"/>
        </w:rPr>
        <w:t xml:space="preserve">Barangay San Agustin, Novaliches, Quezon City</w:t>
      </w:r>
    </w:p>
    <w:p>
      <w:pPr>
        <w:spacing w:after="60"/>
      </w:pPr>
      <w:r>
        <w:rPr>
          <w:i/>
          <w:sz w:val="20"/>
          <w:szCs w:val="20"/>
        </w:rPr>
        <w:t xml:space="preserve">Document type: Flood Hazard Map (supporting reference pack)</w:t>
      </w:r>
    </w:p>
    <w:p>
      <w:pPr>
        <w:spacing w:after="60"/>
      </w:pPr>
      <w:r>
        <w:rPr>
          <w:i/>
          <w:sz w:val="20"/>
          <w:szCs w:val="20"/>
        </w:rPr>
        <w:t xml:space="preserve">Prepared for: Capstone Disaster Preparedness Training &amp; Simulation Platform</w:t>
      </w:r>
    </w:p>
    <w:p>
      <w:pPr>
        <w:spacing w:after="60"/>
      </w:pPr>
      <w:r>
        <w:rPr>
          <w:i/>
          <w:sz w:val="20"/>
          <w:szCs w:val="20"/>
        </w:rPr>
        <w:t xml:space="preserve">Version: 2025.1 | Classification: Academic / Training Use</w:t>
      </w:r>
    </w:p>
    <w:p>
      <w:pPr>
        <w:spacing w:before="280" w:after="120"/>
      </w:pPr>
      <w:r>
        <w:rPr>
          <w:b/>
          <w:sz w:val="26"/>
          <w:szCs w:val="26"/>
        </w:rPr>
        <w:t xml:space="preserve">1. Purpose of this Document</w:t>
      </w:r>
    </w:p>
    <w:p>
      <w:pPr>
        <w:jc w:val="both"/>
        <w:spacing w:after="160"/>
      </w:pPr>
      <w:r>
        <w:rPr>
          <w:sz w:val="21"/>
          <w:szCs w:val="21"/>
        </w:rPr>
        <w:t xml:space="preserve">This document consolidates publicly available Quezon City drainage and flood-assessment references relevant to Barangay San Agustin (District 5 / Novaliches). It is intended to support simulation exercise design, early-warning drills, and oral defense of the barangay hazard profile used in the training platform. Findings summarized here are for education and preparedness planning; operational decisions must still verify the latest official maps and LGU advisories.</w:t>
      </w:r>
    </w:p>
    <w:p>
      <w:pPr>
        <w:spacing w:before="280" w:after="120"/>
      </w:pPr>
      <w:r>
        <w:rPr>
          <w:b/>
          <w:sz w:val="26"/>
          <w:szCs w:val="26"/>
        </w:rPr>
        <w:t xml:space="preserve">2. Study Area</w:t>
      </w:r>
    </w:p>
    <w:p>
      <w:pPr>
        <w:ind w:left="360"/>
        <w:spacing w:after="80"/>
      </w:pPr>
      <w:r>
        <w:rPr>
          <w:sz w:val="21"/>
          <w:szCs w:val="21"/>
        </w:rPr>
        <w:t xml:space="preserve">• Barangay: San Agustin</w:t>
      </w:r>
    </w:p>
    <w:p>
      <w:pPr>
        <w:ind w:left="360"/>
        <w:spacing w:after="80"/>
      </w:pPr>
      <w:r>
        <w:rPr>
          <w:sz w:val="21"/>
          <w:szCs w:val="21"/>
        </w:rPr>
        <w:t xml:space="preserve">• City / LGU: Quezon City, National Capital Region</w:t>
      </w:r>
    </w:p>
    <w:p>
      <w:pPr>
        <w:ind w:left="360"/>
        <w:spacing w:after="80"/>
      </w:pPr>
      <w:r>
        <w:rPr>
          <w:sz w:val="21"/>
          <w:szCs w:val="21"/>
        </w:rPr>
        <w:t xml:space="preserve">• General setting: Urban residential barangay within the Novaliches catchment area</w:t>
      </w:r>
    </w:p>
    <w:p>
      <w:pPr>
        <w:ind w:left="360"/>
        <w:spacing w:after="80"/>
      </w:pPr>
      <w:r>
        <w:rPr>
          <w:sz w:val="21"/>
          <w:szCs w:val="21"/>
        </w:rPr>
        <w:t xml:space="preserve">• Estimated population (profile baseline): ~22,000 residents / ~4,800 households</w:t>
      </w:r>
    </w:p>
    <w:p>
      <w:pPr>
        <w:ind w:left="360"/>
        <w:spacing w:after="80"/>
      </w:pPr>
      <w:r>
        <w:rPr>
          <w:sz w:val="21"/>
          <w:szCs w:val="21"/>
        </w:rPr>
        <w:t xml:space="preserve">• Dominant exposure pathway: street flooding, prolonged ponding, and drainage congestion during intense rainfall and typhoon-enhanced monsoon events</w:t>
      </w:r>
    </w:p>
    <w:p>
      <w:pPr>
        <w:spacing w:before="280" w:after="120"/>
      </w:pPr>
      <w:r>
        <w:rPr>
          <w:b/>
          <w:sz w:val="26"/>
          <w:szCs w:val="26"/>
        </w:rPr>
        <w:t xml:space="preserve">3. Primary Hazard Finding — Flood (High)</w:t>
      </w:r>
    </w:p>
    <w:p>
      <w:pPr>
        <w:jc w:val="both"/>
        <w:spacing w:after="160"/>
      </w:pPr>
      <w:r>
        <w:rPr>
          <w:sz w:val="21"/>
          <w:szCs w:val="21"/>
        </w:rPr>
        <w:t xml:space="preserve">Barangay San Agustin is included among localities covered by the Quezon City Drainage Master Plan (QCDMP) Phase I and II assessment materials. Public portal listings associated with the Drainage Master Plan identify San Agustin with “ALL STREETS” among assessed / field-validated flood-prone coverage areas. This supports treating flood as the primary hazard for readiness exercises in the barangay.</w:t>
      </w:r>
    </w:p>
    <w:p>
      <w:pPr>
        <w:jc w:val="both"/>
        <w:spacing w:after="160"/>
      </w:pPr>
      <w:r>
        <w:rPr>
          <w:sz w:val="21"/>
          <w:szCs w:val="21"/>
        </w:rPr>
        <w:t xml:space="preserve">Observed / expected flood mechanisms in dense Novaliches residential blocks include: (a) rainfall intensity exceeding roadside and secondary drainage capacity; (b) temporary blockage of inlets by debris; (c) backflow / overflow from local drainage channels and tributaries; and (d) compounded ponding when tropical cyclone rainfall coincides with high antecedent soil / pavement wetness.</w:t>
      </w:r>
    </w:p>
    <w:p>
      <w:pPr>
        <w:spacing w:before="280" w:after="120"/>
      </w:pPr>
      <w:r>
        <w:rPr>
          <w:b/>
          <w:sz w:val="26"/>
          <w:szCs w:val="26"/>
        </w:rPr>
        <w:t xml:space="preserve">4. Implications for Training and Simulation</w:t>
      </w:r>
    </w:p>
    <w:p>
      <w:pPr>
        <w:ind w:left="360"/>
        <w:spacing w:after="80"/>
      </w:pPr>
      <w:r>
        <w:rPr>
          <w:sz w:val="21"/>
          <w:szCs w:val="21"/>
        </w:rPr>
        <w:t xml:space="preserve">• Prioritize flood evacuation and early-warning communication drills for low-lying / drainage-constrained streets.</w:t>
      </w:r>
    </w:p>
    <w:p>
      <w:pPr>
        <w:ind w:left="360"/>
        <w:spacing w:after="80"/>
      </w:pPr>
      <w:r>
        <w:rPr>
          <w:sz w:val="21"/>
          <w:szCs w:val="21"/>
        </w:rPr>
        <w:t xml:space="preserve">• Pre-position scenarios for blocked drainage, assisted evacuation of vulnerable households, and traffic / access interruption.</w:t>
      </w:r>
    </w:p>
    <w:p>
      <w:pPr>
        <w:ind w:left="360"/>
        <w:spacing w:after="80"/>
      </w:pPr>
      <w:r>
        <w:rPr>
          <w:sz w:val="21"/>
          <w:szCs w:val="21"/>
        </w:rPr>
        <w:t xml:space="preserve">• Integrate typhoon rainfall context (PAGASA advisories) as a trigger that escalates flood operations from monitoring to evacuation.</w:t>
      </w:r>
    </w:p>
    <w:p>
      <w:pPr>
        <w:ind w:left="360"/>
        <w:spacing w:after="80"/>
      </w:pPr>
      <w:r>
        <w:rPr>
          <w:sz w:val="21"/>
          <w:szCs w:val="21"/>
        </w:rPr>
        <w:t xml:space="preserve">• Use barangay assembly points and vertical/horizontal evacuation routes that remain accessible during moderate street flooding.</w:t>
      </w:r>
    </w:p>
    <w:p>
      <w:pPr>
        <w:spacing w:before="280" w:after="120"/>
      </w:pPr>
      <w:r>
        <w:rPr>
          <w:b/>
          <w:sz w:val="26"/>
          <w:szCs w:val="26"/>
        </w:rPr>
        <w:t xml:space="preserve">5. Recommended Exercise Injects (examples)</w:t>
      </w:r>
    </w:p>
    <w:p>
      <w:pPr>
        <w:ind w:left="360"/>
        <w:spacing w:after="80"/>
      </w:pPr>
      <w:r>
        <w:rPr>
          <w:sz w:val="21"/>
          <w:szCs w:val="21"/>
        </w:rPr>
        <w:t xml:space="preserve">• T0: Heavy rainfall advisory issued for NCR; barangay activates monitoring cells.</w:t>
      </w:r>
    </w:p>
    <w:p>
      <w:pPr>
        <w:ind w:left="360"/>
        <w:spacing w:after="80"/>
      </w:pPr>
      <w:r>
        <w:rPr>
          <w:sz w:val="21"/>
          <w:szCs w:val="21"/>
        </w:rPr>
        <w:t xml:space="preserve">• T+30 min: Ponding reported on multiple residential streets; drainage teams deployed.</w:t>
      </w:r>
    </w:p>
    <w:p>
      <w:pPr>
        <w:ind w:left="360"/>
        <w:spacing w:after="80"/>
      </w:pPr>
      <w:r>
        <w:rPr>
          <w:sz w:val="21"/>
          <w:szCs w:val="21"/>
        </w:rPr>
        <w:t xml:space="preserve">• T+90 min: Evacuation assistance requested for households with PWDs / elderly in ponding hotspots.</w:t>
      </w:r>
    </w:p>
    <w:p>
      <w:pPr>
        <w:ind w:left="360"/>
        <w:spacing w:after="80"/>
      </w:pPr>
      <w:r>
        <w:rPr>
          <w:sz w:val="21"/>
          <w:szCs w:val="21"/>
        </w:rPr>
        <w:t xml:space="preserve">• T+3 hrs: Access lane partially impassable; alternate route and shelter capacity check.</w:t>
      </w:r>
    </w:p>
    <w:p>
      <w:pPr>
        <w:spacing w:before="280" w:after="120"/>
      </w:pPr>
      <w:r>
        <w:rPr>
          <w:b/>
          <w:sz w:val="26"/>
          <w:szCs w:val="26"/>
        </w:rPr>
        <w:t xml:space="preserve">6. Limitations and Defense Notes</w:t>
      </w:r>
    </w:p>
    <w:p>
      <w:pPr>
        <w:jc w:val="both"/>
        <w:spacing w:after="160"/>
      </w:pPr>
      <w:r>
        <w:rPr>
          <w:sz w:val="21"/>
          <w:szCs w:val="21"/>
        </w:rPr>
        <w:t xml:space="preserve">This pack summarizes publicly linked QC materials and academic/local governance literature for demo and defense. It is not a substitute for cadastral flood maps, LiDAR-derived flood depths, or real-time QCDRRMO / barangay flood monitors. During defense, clarify that the platform uses San Agustin as a grounded case study community and that live operations must follow official LGU/PAGASA products.</w:t>
      </w:r>
    </w:p>
    <w:p>
      <w:pPr>
        <w:spacing w:before="280" w:after="120"/>
      </w:pPr>
      <w:r>
        <w:rPr>
          <w:b/>
          <w:sz w:val="26"/>
          <w:szCs w:val="26"/>
        </w:rPr>
        <w:t xml:space="preserve">7. References</w:t>
      </w:r>
    </w:p>
    <w:p>
      <w:pPr>
        <w:jc w:val="both"/>
        <w:spacing w:after="160"/>
      </w:pPr>
      <w:r>
        <w:rPr>
          <w:sz w:val="21"/>
          <w:szCs w:val="21"/>
        </w:rPr>
        <w:t xml:space="preserve">Quezon City Government. (n.d.). Quezon City Drainage Master Plan (Final Report, Phase I and II) / QC Profile portal. https://quezoncity.gov.ph/qc-profile/drainage-master-plan/</w:t>
      </w:r>
    </w:p>
    <w:p>
      <w:pPr>
        <w:jc w:val="both"/>
        <w:spacing w:after="160"/>
      </w:pPr>
      <w:r>
        <w:rPr>
          <w:sz w:val="21"/>
          <w:szCs w:val="21"/>
        </w:rPr>
        <w:t xml:space="preserve">Quezon City Government. Areas Covered in Phases I and II (Drainage Master Plan related listing). San Agustin appears among assessed localities (all streets noted in coverage materials).</w:t>
      </w:r>
    </w:p>
    <w:p>
      <w:pPr>
        <w:jc w:val="both"/>
        <w:spacing w:after="160"/>
      </w:pPr>
      <w:r>
        <w:rPr>
          <w:sz w:val="21"/>
          <w:szCs w:val="21"/>
        </w:rPr>
        <w:t xml:space="preserve">Philippine Atmospheric, Geophysical and Astronomical Services Administration (PAGASA). (n.d.). Tropical cyclone and monsoon rainfall products for NCR. https://www.pagasa.dost.gov.ph/</w:t>
      </w:r>
    </w:p>
    <w:p>
      <w:pPr>
        <w:jc w:val="both"/>
        <w:spacing w:after="160"/>
      </w:pPr>
      <w:r>
        <w:rPr>
          <w:sz w:val="21"/>
          <w:szCs w:val="21"/>
        </w:rPr>
        <w:t xml:space="preserve">Republic Act No. 10121. (2010). Philippine Disaster Risk Reduction and Management Act of 2010.</w:t>
      </w:r>
    </w:p>
    <w:p>
      <w:pPr>
        <w:jc w:val="both"/>
        <w:spacing w:after="160"/>
      </w:pPr>
      <w:r>
        <w:rPr>
          <w:sz w:val="21"/>
          <w:szCs w:val="21"/>
        </w:rPr>
        <w:t xml:space="preserve">National Disaster Risk Reduction and Management Council (NDRRMC). National Disaster Risk Reduction and Management Plan (NDRRMP) frameworks for prevention, preparedness, response, and rehabilitation.</w:t>
      </w:r>
    </w:p>
    <w:p>
      <w:pPr>
        <w:jc w:val="both"/>
        <w:spacing w:after="160"/>
      </w:pPr>
      <w:r>
        <w:rPr>
          <w:sz w:val="21"/>
          <w:szCs w:val="21"/>
        </w:rPr>
        <w:t xml:space="preserve">Office of Civil Defense (OCD). Community-based disaster risk reduction and management guidance materials for LGUs and barangays.</w:t>
      </w:r>
    </w:p>
    <w:p>
      <w:pPr>
        <w:spacing w:after="60"/>
      </w:pPr>
      <w:r>
        <w:rPr>
          <w:i/>
          <w:sz w:val="20"/>
          <w:szCs w:val="20"/>
        </w:rPr>
        <w:t xml:space="preserve">End of document — Flood Hazard Coverage Summary (San Agustin, QC)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
<Relationships xmlns="http://schemas.openxmlformats.org/package/2006/relationships">
</Relationships>
</file>