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  <w:szCs w:val="32"/>
        </w:rPr>
        <w:t xml:space="preserve">Diagram &amp; Documentation Guidelines</w:t>
      </w:r>
    </w:p>
    <w:p>
      <w:pPr>
        <w:jc w:val="center"/>
        <w:spacing w:after="120"/>
      </w:pPr>
      <w:r>
        <w:rPr>
          <w:i/>
          <w:sz w:val="22"/>
          <w:szCs w:val="22"/>
        </w:rPr>
        <w:t xml:space="preserve">For groupmates — Disaster Preparedness Training &amp; Simulation Platform</w:t>
      </w:r>
    </w:p>
    <w:p>
      <w:pPr>
        <w:spacing w:after="60"/>
      </w:pPr>
      <w:r>
        <w:rPr>
          <w:i/>
          <w:sz w:val="20"/>
          <w:szCs w:val="20"/>
        </w:rPr>
        <w:t xml:space="preserve">Focus: Barangay San Agustin, Novaliches, Quezon City</w:t>
      </w:r>
    </w:p>
    <w:p>
      <w:pPr>
        <w:spacing w:after="60"/>
      </w:pPr>
      <w:r>
        <w:rPr>
          <w:i/>
          <w:sz w:val="20"/>
          <w:szCs w:val="20"/>
        </w:rPr>
        <w:t xml:space="preserve">Product flow: Approved Campaign → Exercise Plan → Use Template → Readiness → Publish → Monitoring</w:t>
      </w:r>
    </w:p>
    <w:p>
      <w:pPr>
        <w:spacing w:before="280" w:after="120"/>
      </w:pPr>
      <w:r>
        <w:rPr>
          <w:b/>
          <w:sz w:val="26"/>
          <w:szCs w:val="26"/>
        </w:rPr>
        <w:t xml:space="preserve">Assignment board</w:t>
      </w:r>
    </w:p>
    <w:p>
      <w:pPr>
        <w:jc w:val="both"/>
        <w:spacing w:after="160"/>
      </w:pPr>
      <w:r>
        <w:rPr>
          <w:sz w:val="21"/>
          <w:szCs w:val="21"/>
        </w:rPr>
        <w:t xml:space="preserve">BPMN AS-IS/TO-BE, Infrastructure as Code, Microservices DFD, and Communication Pattern are drafted in the Documents folder. BPA, ERD, DFD 0/1, Workflow, Use Case, Sequence, CI/CD, Microservices diagram, Sprint backlogs, and Sprint chart are team-owned — polish captions and figure numbers only.</w:t>
      </w:r>
    </w:p>
    <w:p>
      <w:pPr>
        <w:spacing w:before="280" w:after="120"/>
      </w:pPr>
      <w:r>
        <w:rPr>
          <w:b/>
          <w:sz w:val="26"/>
          <w:szCs w:val="26"/>
        </w:rPr>
        <w:t xml:space="preserve">Shared rules</w:t>
      </w:r>
    </w:p>
    <w:p>
      <w:pPr>
        <w:ind w:left="360"/>
        <w:spacing w:after="80"/>
      </w:pPr>
      <w:r>
        <w:rPr>
          <w:sz w:val="21"/>
          <w:szCs w:val="21"/>
        </w:rPr>
        <w:t xml:space="preserve">• Caption format: Figure X. &lt;Name&gt; of the Disaster Preparedness Training and Simulation System</w:t>
      </w:r>
    </w:p>
    <w:p>
      <w:pPr>
        <w:ind w:left="360"/>
        <w:spacing w:after="80"/>
      </w:pPr>
      <w:r>
        <w:rPr>
          <w:sz w:val="21"/>
          <w:szCs w:val="21"/>
        </w:rPr>
        <w:t xml:space="preserve">• One idea per diagram (never mix AS-IS and TO-BE on one canvas)</w:t>
      </w:r>
    </w:p>
    <w:p>
      <w:pPr>
        <w:ind w:left="360"/>
        <w:spacing w:after="80"/>
      </w:pPr>
      <w:r>
        <w:rPr>
          <w:sz w:val="21"/>
          <w:szCs w:val="21"/>
        </w:rPr>
        <w:t xml:space="preserve">• Actors: Admin, Lead Trainer, Assistant Trainer, Evaluator, Staff, Participant</w:t>
      </w:r>
    </w:p>
    <w:p>
      <w:pPr>
        <w:ind w:left="360"/>
        <w:spacing w:after="80"/>
      </w:pPr>
      <w:r>
        <w:rPr>
          <w:sz w:val="21"/>
          <w:szCs w:val="21"/>
        </w:rPr>
        <w:t xml:space="preserve">• Modules: Training Modules, Campaign Requests, Exercise Plans, Simulation Events, Hazard Assessment, Evaluation, Attendance, Certificates</w:t>
      </w:r>
    </w:p>
    <w:p>
      <w:pPr>
        <w:ind w:left="360"/>
        <w:spacing w:after="80"/>
      </w:pPr>
      <w:r>
        <w:rPr>
          <w:sz w:val="21"/>
          <w:szCs w:val="21"/>
        </w:rPr>
        <w:t xml:space="preserve">• Export PNG/SVG; keep Draw.io / Mermaid source in the group drive</w:t>
      </w:r>
    </w:p>
    <w:p>
      <w:pPr>
        <w:spacing w:before="280" w:after="120"/>
      </w:pPr>
      <w:r>
        <w:rPr>
          <w:b/>
          <w:sz w:val="26"/>
          <w:szCs w:val="26"/>
        </w:rPr>
        <w:t xml:space="preserve">Tools</w:t>
      </w:r>
    </w:p>
    <w:p>
      <w:pPr>
        <w:ind w:left="360"/>
        <w:spacing w:after="80"/>
      </w:pPr>
      <w:r>
        <w:rPr>
          <w:sz w:val="21"/>
          <w:szCs w:val="21"/>
        </w:rPr>
        <w:t xml:space="preserve">• BPMN: Draw.io BPMN shapes or Camunda Modeler</w:t>
      </w:r>
    </w:p>
    <w:p>
      <w:pPr>
        <w:ind w:left="360"/>
        <w:spacing w:after="80"/>
      </w:pPr>
      <w:r>
        <w:rPr>
          <w:sz w:val="21"/>
          <w:szCs w:val="21"/>
        </w:rPr>
        <w:t xml:space="preserve">• ERD: Draw.io, dbdiagram.io, or MySQL Workbench</w:t>
      </w:r>
    </w:p>
    <w:p>
      <w:pPr>
        <w:ind w:left="360"/>
        <w:spacing w:after="80"/>
      </w:pPr>
      <w:r>
        <w:rPr>
          <w:sz w:val="21"/>
          <w:szCs w:val="21"/>
        </w:rPr>
        <w:t xml:space="preserve">• DFD: Draw.io (Gane–Sarson / Yourdon)</w:t>
      </w:r>
    </w:p>
    <w:p>
      <w:pPr>
        <w:ind w:left="360"/>
        <w:spacing w:after="80"/>
      </w:pPr>
      <w:r>
        <w:rPr>
          <w:sz w:val="21"/>
          <w:szCs w:val="21"/>
        </w:rPr>
        <w:t xml:space="preserve">• UML Use Case / Sequence: Draw.io, StarUML, or PlantUML</w:t>
      </w:r>
    </w:p>
    <w:p>
      <w:pPr>
        <w:ind w:left="360"/>
        <w:spacing w:after="80"/>
      </w:pPr>
      <w:r>
        <w:rPr>
          <w:sz w:val="21"/>
          <w:szCs w:val="21"/>
        </w:rPr>
        <w:t xml:space="preserve">• Architecture / CI/CD: Draw.io or Mermaid (mermaid.live)</w:t>
      </w:r>
    </w:p>
    <w:p>
      <w:pPr>
        <w:spacing w:before="280" w:after="120"/>
      </w:pPr>
      <w:r>
        <w:rPr>
          <w:b/>
          <w:sz w:val="26"/>
          <w:szCs w:val="26"/>
        </w:rPr>
        <w:t xml:space="preserve">Per-diagram must-include (summary)</w:t>
      </w:r>
    </w:p>
    <w:p>
      <w:pPr>
        <w:jc w:val="both"/>
        <w:spacing w:after="160"/>
      </w:pPr>
      <w:r>
        <w:rPr>
          <w:sz w:val="21"/>
          <w:szCs w:val="21"/>
        </w:rPr>
        <w:t xml:space="preserve">BPMN: start/end, lanes, gateways; AS-IS = manual drills; TO-BE = campaign→plan→template→readiness→publish→monitoring.</w:t>
      </w:r>
    </w:p>
    <w:p>
      <w:pPr>
        <w:jc w:val="both"/>
        <w:spacing w:after="160"/>
      </w:pPr>
      <w:r>
        <w:rPr>
          <w:sz w:val="21"/>
          <w:szCs w:val="21"/>
        </w:rPr>
        <w:t xml:space="preserve">BPA: process owner, trigger, pain points, improvements, KPI — reference BPMN, do not redraw it.</w:t>
      </w:r>
    </w:p>
    <w:p>
      <w:pPr>
        <w:jc w:val="both"/>
        <w:spacing w:after="160"/>
      </w:pPr>
      <w:r>
        <w:rPr>
          <w:sz w:val="21"/>
          <w:szCs w:val="21"/>
        </w:rPr>
        <w:t xml:space="preserve">ERD: users/roles, training modules, campaign requests, simulation events/templates, barangay hazards, participants, attendance, evaluations, certificates.</w:t>
      </w:r>
    </w:p>
    <w:p>
      <w:pPr>
        <w:jc w:val="both"/>
        <w:spacing w:after="160"/>
      </w:pPr>
      <w:r>
        <w:rPr>
          <w:sz w:val="21"/>
          <w:szCs w:val="21"/>
        </w:rPr>
        <w:t xml:space="preserve">DFD 0: one system process + externals. DFD 1: Auth, Training, Campaign, Simulation, Eval/Reporting + data stores.</w:t>
      </w:r>
    </w:p>
    <w:p>
      <w:pPr>
        <w:jc w:val="both"/>
        <w:spacing w:after="160"/>
      </w:pPr>
      <w:r>
        <w:rPr>
          <w:sz w:val="21"/>
          <w:szCs w:val="21"/>
        </w:rPr>
        <w:t xml:space="preserve">Workflow: happy path of simulation lifecycle.</w:t>
      </w:r>
    </w:p>
    <w:p>
      <w:pPr>
        <w:jc w:val="both"/>
        <w:spacing w:after="160"/>
      </w:pPr>
      <w:r>
        <w:rPr>
          <w:sz w:val="21"/>
          <w:szCs w:val="21"/>
        </w:rPr>
        <w:t xml:space="preserve">Use Case: 8–15 ovals; actors linked clearly; include/extend sparingly.</w:t>
      </w:r>
    </w:p>
    <w:p>
      <w:pPr>
        <w:jc w:val="both"/>
        <w:spacing w:after="160"/>
      </w:pPr>
      <w:r>
        <w:rPr>
          <w:sz w:val="21"/>
          <w:szCs w:val="21"/>
        </w:rPr>
        <w:t xml:space="preserve">Sequence: one critical scenario per figure (login, AI generate, or publish readiness).</w:t>
      </w:r>
    </w:p>
    <w:p>
      <w:pPr>
        <w:jc w:val="both"/>
        <w:spacing w:after="160"/>
      </w:pPr>
      <w:r>
        <w:rPr>
          <w:sz w:val="21"/>
          <w:szCs w:val="21"/>
        </w:rPr>
        <w:t xml:space="preserve">IaC: docker-compose, env contract, scripted Hostinger deploy (see Documents/02).</w:t>
      </w:r>
    </w:p>
    <w:p>
      <w:pPr>
        <w:jc w:val="both"/>
        <w:spacing w:after="160"/>
      </w:pPr>
      <w:r>
        <w:rPr>
          <w:sz w:val="21"/>
          <w:szCs w:val="21"/>
        </w:rPr>
        <w:t xml:space="preserve">CI/CD: commit → build → test → deploy Hostinger → operate.</w:t>
      </w:r>
    </w:p>
    <w:p>
      <w:pPr>
        <w:jc w:val="both"/>
        <w:spacing w:after="160"/>
      </w:pPr>
      <w:r>
        <w:rPr>
          <w:sz w:val="21"/>
          <w:szCs w:val="21"/>
        </w:rPr>
        <w:t xml:space="preserve">Microservices DFD &amp; communication: see Documents/03 and Documents/04.</w:t>
      </w:r>
    </w:p>
    <w:p>
      <w:pPr>
        <w:jc w:val="both"/>
        <w:spacing w:after="160"/>
      </w:pPr>
      <w:r>
        <w:rPr>
          <w:sz w:val="21"/>
          <w:szCs w:val="21"/>
        </w:rPr>
        <w:t xml:space="preserve">Sprints / Sprint chart: align with my-app Sprint Board and 3.4 backlog docs.</w:t>
      </w:r>
    </w:p>
    <w:p>
      <w:pPr>
        <w:spacing w:before="280" w:after="120"/>
      </w:pPr>
      <w:r>
        <w:rPr>
          <w:b/>
          <w:sz w:val="26"/>
          <w:szCs w:val="26"/>
        </w:rPr>
        <w:t xml:space="preserve">Service naming (use consistently)</w:t>
      </w:r>
    </w:p>
    <w:p>
      <w:pPr>
        <w:ind w:left="360"/>
        <w:spacing w:after="80"/>
      </w:pPr>
      <w:r>
        <w:rPr>
          <w:sz w:val="21"/>
          <w:szCs w:val="21"/>
        </w:rPr>
        <w:t xml:space="preserve">• Authentication Service</w:t>
      </w:r>
    </w:p>
    <w:p>
      <w:pPr>
        <w:ind w:left="360"/>
        <w:spacing w:after="80"/>
      </w:pPr>
      <w:r>
        <w:rPr>
          <w:sz w:val="21"/>
          <w:szCs w:val="21"/>
        </w:rPr>
        <w:t xml:space="preserve">• Disaster Training Management</w:t>
      </w:r>
    </w:p>
    <w:p>
      <w:pPr>
        <w:ind w:left="360"/>
        <w:spacing w:after="80"/>
      </w:pPr>
      <w:r>
        <w:rPr>
          <w:sz w:val="21"/>
          <w:szCs w:val="21"/>
        </w:rPr>
        <w:t xml:space="preserve">• Simulation Core / Event Lifecycle</w:t>
      </w:r>
    </w:p>
    <w:p>
      <w:pPr>
        <w:ind w:left="360"/>
        <w:spacing w:after="80"/>
      </w:pPr>
      <w:r>
        <w:rPr>
          <w:sz w:val="21"/>
          <w:szCs w:val="21"/>
        </w:rPr>
        <w:t xml:space="preserve">• AI Scenario Generator (Gemini)</w:t>
      </w:r>
    </w:p>
    <w:p>
      <w:pPr>
        <w:ind w:left="360"/>
        <w:spacing w:after="80"/>
      </w:pPr>
      <w:r>
        <w:rPr>
          <w:sz w:val="21"/>
          <w:szCs w:val="21"/>
        </w:rPr>
        <w:t xml:space="preserve">• Reporting &amp; Evaluation Service</w:t>
      </w:r>
    </w:p>
    <w:p>
      <w:pPr>
        <w:ind w:left="360"/>
        <w:spacing w:after="80"/>
      </w:pPr>
      <w:r>
        <w:rPr>
          <w:sz w:val="21"/>
          <w:szCs w:val="21"/>
        </w:rPr>
        <w:t xml:space="preserve">• External: Campaign Planning (Group 6), CPSQC Patrol</w:t>
      </w:r>
    </w:p>
    <w:p>
      <w:pPr>
        <w:spacing w:before="280" w:after="120"/>
      </w:pPr>
      <w:r>
        <w:rPr>
          <w:b/>
          <w:sz w:val="26"/>
          <w:szCs w:val="26"/>
        </w:rPr>
        <w:t xml:space="preserve">Submission checklist</w:t>
      </w:r>
    </w:p>
    <w:p>
      <w:pPr>
        <w:ind w:left="360"/>
        <w:spacing w:after="80"/>
      </w:pPr>
      <w:r>
        <w:rPr>
          <w:sz w:val="21"/>
          <w:szCs w:val="21"/>
        </w:rPr>
        <w:t xml:space="preserve">• Figure number reserved</w:t>
      </w:r>
    </w:p>
    <w:p>
      <w:pPr>
        <w:ind w:left="360"/>
        <w:spacing w:after="80"/>
      </w:pPr>
      <w:r>
        <w:rPr>
          <w:sz w:val="21"/>
          <w:szCs w:val="21"/>
        </w:rPr>
        <w:t xml:space="preserve">• No e-commerce leftover labels</w:t>
      </w:r>
    </w:p>
    <w:p>
      <w:pPr>
        <w:ind w:left="360"/>
        <w:spacing w:after="80"/>
      </w:pPr>
      <w:r>
        <w:rPr>
          <w:sz w:val="21"/>
          <w:szCs w:val="21"/>
        </w:rPr>
        <w:t xml:space="preserve">• Names match this guideline</w:t>
      </w:r>
    </w:p>
    <w:p>
      <w:pPr>
        <w:ind w:left="360"/>
        <w:spacing w:after="80"/>
      </w:pPr>
      <w:r>
        <w:rPr>
          <w:sz w:val="21"/>
          <w:szCs w:val="21"/>
        </w:rPr>
        <w:t xml:space="preserve">• Source file saved</w:t>
      </w:r>
    </w:p>
    <w:p>
      <w:pPr>
        <w:ind w:left="360"/>
        <w:spacing w:after="80"/>
      </w:pPr>
      <w:r>
        <w:rPr>
          <w:sz w:val="21"/>
          <w:szCs w:val="21"/>
        </w:rPr>
        <w:t xml:space="preserve">• Readable in black-and-white print</w:t>
      </w:r>
    </w:p>
    <w:p>
      <w:pPr>
        <w:ind w:left="360"/>
        <w:spacing w:after="80"/>
      </w:pPr>
      <w:r>
        <w:rPr>
          <w:sz w:val="21"/>
          <w:szCs w:val="21"/>
        </w:rPr>
        <w:t xml:space="preserve">• 3–5 sentence explanation under the figure</w:t>
      </w:r>
    </w:p>
    <w:p>
      <w:pPr>
        <w:spacing w:after="60"/>
      </w:pPr>
      <w:r>
        <w:rPr>
          <w:i/>
          <w:sz w:val="20"/>
          <w:szCs w:val="20"/>
        </w:rPr>
        <w:t xml:space="preserve">Full detail: Documents/00_Diagram_Guidelines_for_Groupmates.md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
<Relationships xmlns="http://schemas.openxmlformats.org/package/2006/relationships">
</Relationships>
</file>