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BPMN — AS-IS and TO-BE</w:t>
      </w:r>
    </w:p>
    <w:p>
      <w:pPr>
        <w:jc w:val="center"/>
        <w:spacing w:after="120"/>
      </w:pPr>
      <w:r>
        <w:rPr>
          <w:i/>
          <w:sz w:val="22"/>
          <w:szCs w:val="22"/>
        </w:rPr>
        <w:t xml:space="preserve">Disaster Preparedness Training &amp; Simulation Platform</w:t>
      </w:r>
    </w:p>
    <w:p>
      <w:pPr>
        <w:spacing w:before="280" w:after="120"/>
      </w:pPr>
      <w:r>
        <w:rPr>
          <w:b/>
          <w:sz w:val="26"/>
          <w:szCs w:val="26"/>
        </w:rPr>
        <w:t xml:space="preserve">AS-IS narrative</w:t>
      </w:r>
    </w:p>
    <w:p>
      <w:pPr>
        <w:jc w:val="both"/>
        <w:spacing w:after="160"/>
      </w:pPr>
      <w:r>
        <w:rPr>
          <w:sz w:val="21"/>
          <w:szCs w:val="21"/>
        </w:rPr>
        <w:t xml:space="preserve">Before the platform, barangay drills were largely manual. Trainers prepared static scenarios on paper or slides, attendance was recorded by hand, evaluation was delayed, and there was little reusable digital history linking campaign approval, exercise design, and after-action results. Coordination with external campaign scheduling was informal, which made readiness hard to audit.</w:t>
      </w:r>
    </w:p>
    <w:p>
      <w:pPr>
        <w:spacing w:before="280" w:after="120"/>
      </w:pPr>
      <w:r>
        <w:rPr>
          <w:b/>
          <w:sz w:val="26"/>
          <w:szCs w:val="26"/>
        </w:rPr>
        <w:t xml:space="preserve">AS-IS process steps</w:t>
      </w:r>
    </w:p>
    <w:p>
      <w:pPr>
        <w:ind w:left="360"/>
        <w:spacing w:after="80"/>
      </w:pPr>
      <w:r>
        <w:rPr>
          <w:sz w:val="21"/>
          <w:szCs w:val="21"/>
        </w:rPr>
        <w:t xml:space="preserve">• Start: Drill requested</w:t>
      </w:r>
    </w:p>
    <w:p>
      <w:pPr>
        <w:ind w:left="360"/>
        <w:spacing w:after="80"/>
      </w:pPr>
      <w:r>
        <w:rPr>
          <w:sz w:val="21"/>
          <w:szCs w:val="21"/>
        </w:rPr>
        <w:t xml:space="preserve">• Trainer prepares static scenario (paper/slides)</w:t>
      </w:r>
    </w:p>
    <w:p>
      <w:pPr>
        <w:ind w:left="360"/>
        <w:spacing w:after="80"/>
      </w:pPr>
      <w:r>
        <w:rPr>
          <w:sz w:val="21"/>
          <w:szCs w:val="21"/>
        </w:rPr>
        <w:t xml:space="preserve">• Notify participants (chat/bulletin)</w:t>
      </w:r>
    </w:p>
    <w:p>
      <w:pPr>
        <w:ind w:left="360"/>
        <w:spacing w:after="80"/>
      </w:pPr>
      <w:r>
        <w:rPr>
          <w:sz w:val="21"/>
          <w:szCs w:val="21"/>
        </w:rPr>
        <w:t xml:space="preserve">• Gateway: Drill day? If no, wait/reschedule</w:t>
      </w:r>
    </w:p>
    <w:p>
      <w:pPr>
        <w:ind w:left="360"/>
        <w:spacing w:after="80"/>
      </w:pPr>
      <w:r>
        <w:rPr>
          <w:sz w:val="21"/>
          <w:szCs w:val="21"/>
        </w:rPr>
        <w:t xml:space="preserve">• Manual attendance sheet</w:t>
      </w:r>
    </w:p>
    <w:p>
      <w:pPr>
        <w:ind w:left="360"/>
        <w:spacing w:after="80"/>
      </w:pPr>
      <w:r>
        <w:rPr>
          <w:sz w:val="21"/>
          <w:szCs w:val="21"/>
        </w:rPr>
        <w:t xml:space="preserve">• Conduct on-site drill</w:t>
      </w:r>
    </w:p>
    <w:p>
      <w:pPr>
        <w:ind w:left="360"/>
        <w:spacing w:after="80"/>
      </w:pPr>
      <w:r>
        <w:rPr>
          <w:sz w:val="21"/>
          <w:szCs w:val="21"/>
        </w:rPr>
        <w:t xml:space="preserve">• Handwritten evaluator notes</w:t>
      </w:r>
    </w:p>
    <w:p>
      <w:pPr>
        <w:ind w:left="360"/>
        <w:spacing w:after="80"/>
      </w:pPr>
      <w:r>
        <w:rPr>
          <w:sz w:val="21"/>
          <w:szCs w:val="21"/>
        </w:rPr>
        <w:t xml:space="preserve">• Delayed Word/Excel summary</w:t>
      </w:r>
    </w:p>
    <w:p>
      <w:pPr>
        <w:ind w:left="360"/>
        <w:spacing w:after="80"/>
      </w:pPr>
      <w:r>
        <w:rPr>
          <w:sz w:val="21"/>
          <w:szCs w:val="21"/>
        </w:rPr>
        <w:t xml:space="preserve">• Paper / personal-drive archive — limited reuse</w:t>
      </w:r>
    </w:p>
    <w:p>
      <w:pPr>
        <w:spacing w:before="280" w:after="120"/>
      </w:pPr>
      <w:r>
        <w:rPr>
          <w:b/>
          <w:sz w:val="26"/>
          <w:szCs w:val="26"/>
        </w:rPr>
        <w:t xml:space="preserve">TO-BE narrative</w:t>
      </w:r>
    </w:p>
    <w:p>
      <w:pPr>
        <w:jc w:val="both"/>
        <w:spacing w:after="160"/>
      </w:pPr>
      <w:r>
        <w:rPr>
          <w:sz w:val="21"/>
          <w:szCs w:val="21"/>
        </w:rPr>
        <w:t xml:space="preserve">With the platform, an approved campaign becomes an exercise plan, optionally from a template, then passes a readiness checklist (personnel, resources, hazard context). When ready, the event is published and monitored (attendance, evaluation, lifecycle). AI-assisted scenario generation and partner integrations support repeatable, documented drills aligned with RA 10121 preparedness practice.</w:t>
      </w:r>
    </w:p>
    <w:p>
      <w:pPr>
        <w:spacing w:before="280" w:after="120"/>
      </w:pPr>
      <w:r>
        <w:rPr>
          <w:b/>
          <w:sz w:val="26"/>
          <w:szCs w:val="26"/>
        </w:rPr>
        <w:t xml:space="preserve">TO-BE process steps (protected product flow)</w:t>
      </w:r>
    </w:p>
    <w:p>
      <w:pPr>
        <w:ind w:left="360"/>
        <w:spacing w:after="80"/>
      </w:pPr>
      <w:r>
        <w:rPr>
          <w:sz w:val="21"/>
          <w:szCs w:val="21"/>
        </w:rPr>
        <w:t xml:space="preserve">• Campaign request from Training Module</w:t>
      </w:r>
    </w:p>
    <w:p>
      <w:pPr>
        <w:ind w:left="360"/>
        <w:spacing w:after="80"/>
      </w:pPr>
      <w:r>
        <w:rPr>
          <w:sz w:val="21"/>
          <w:szCs w:val="21"/>
        </w:rPr>
        <w:t xml:space="preserve">• Campaign Planning approve/reject gateway</w:t>
      </w:r>
    </w:p>
    <w:p>
      <w:pPr>
        <w:ind w:left="360"/>
        <w:spacing w:after="80"/>
      </w:pPr>
      <w:r>
        <w:rPr>
          <w:sz w:val="21"/>
          <w:szCs w:val="21"/>
        </w:rPr>
        <w:t xml:space="preserve">• Create Exercise Plan</w:t>
      </w:r>
    </w:p>
    <w:p>
      <w:pPr>
        <w:ind w:left="360"/>
        <w:spacing w:after="80"/>
      </w:pPr>
      <w:r>
        <w:rPr>
          <w:sz w:val="21"/>
          <w:szCs w:val="21"/>
        </w:rPr>
        <w:t xml:space="preserve">• Use Exercise Template? (yes/no)</w:t>
      </w:r>
    </w:p>
    <w:p>
      <w:pPr>
        <w:ind w:left="360"/>
        <w:spacing w:after="80"/>
      </w:pPr>
      <w:r>
        <w:rPr>
          <w:sz w:val="21"/>
          <w:szCs w:val="21"/>
        </w:rPr>
        <w:t xml:space="preserve">• Readiness checklist</w:t>
      </w:r>
    </w:p>
    <w:p>
      <w:pPr>
        <w:ind w:left="360"/>
        <w:spacing w:after="80"/>
      </w:pPr>
      <w:r>
        <w:rPr>
          <w:sz w:val="21"/>
          <w:szCs w:val="21"/>
        </w:rPr>
        <w:t xml:space="preserve">• Ready to publish? gateway</w:t>
      </w:r>
    </w:p>
    <w:p>
      <w:pPr>
        <w:ind w:left="360"/>
        <w:spacing w:after="80"/>
      </w:pPr>
      <w:r>
        <w:rPr>
          <w:sz w:val="21"/>
          <w:szCs w:val="21"/>
        </w:rPr>
        <w:t xml:space="preserve">• Publish simulation event</w:t>
      </w:r>
    </w:p>
    <w:p>
      <w:pPr>
        <w:ind w:left="360"/>
        <w:spacing w:after="80"/>
      </w:pPr>
      <w:r>
        <w:rPr>
          <w:sz w:val="21"/>
          <w:szCs w:val="21"/>
        </w:rPr>
        <w:t xml:space="preserve">• Monitoring: attendance, lifecycle, evaluation</w:t>
      </w:r>
    </w:p>
    <w:p>
      <w:pPr>
        <w:ind w:left="360"/>
        <w:spacing w:after="80"/>
      </w:pPr>
      <w:r>
        <w:rPr>
          <w:sz w:val="21"/>
          <w:szCs w:val="21"/>
        </w:rPr>
        <w:t xml:space="preserve">• After-action / certificates / reports</w:t>
      </w:r>
    </w:p>
    <w:p>
      <w:pPr>
        <w:spacing w:before="280" w:after="120"/>
      </w:pPr>
      <w:r>
        <w:rPr>
          <w:b/>
          <w:sz w:val="26"/>
          <w:szCs w:val="26"/>
        </w:rPr>
        <w:t xml:space="preserve">Suggested captions</w:t>
      </w:r>
    </w:p>
    <w:p>
      <w:pPr>
        <w:jc w:val="both"/>
        <w:spacing w:after="160"/>
      </w:pPr>
      <w:r>
        <w:rPr>
          <w:sz w:val="21"/>
          <w:szCs w:val="21"/>
        </w:rPr>
        <w:t xml:space="preserve">Figure A. BPMN Diagram (AS-IS) of Manual Barangay Disaster Drill Conduct</w:t>
      </w:r>
    </w:p>
    <w:p>
      <w:pPr>
        <w:jc w:val="both"/>
        <w:spacing w:after="160"/>
      </w:pPr>
      <w:r>
        <w:rPr>
          <w:sz w:val="21"/>
          <w:szCs w:val="21"/>
        </w:rPr>
        <w:t xml:space="preserve">Figure B. BPMN Diagram (TO-BE) of Simulation Event Lifecycle in the Training Platform</w:t>
      </w:r>
    </w:p>
    <w:p>
      <w:pPr>
        <w:spacing w:before="280" w:after="120"/>
      </w:pPr>
      <w:r>
        <w:rPr>
          <w:b/>
          <w:sz w:val="26"/>
          <w:szCs w:val="26"/>
        </w:rPr>
        <w:t xml:space="preserve">Defense talking points</w:t>
      </w:r>
    </w:p>
    <w:p>
      <w:pPr>
        <w:ind w:left="360"/>
        <w:spacing w:after="80"/>
      </w:pPr>
      <w:r>
        <w:rPr>
          <w:sz w:val="21"/>
          <w:szCs w:val="21"/>
        </w:rPr>
        <w:t xml:space="preserve">• AS-IS = fragmented; TO-BE = gated digital lifecycle</w:t>
      </w:r>
    </w:p>
    <w:p>
      <w:pPr>
        <w:ind w:left="360"/>
        <w:spacing w:after="80"/>
      </w:pPr>
      <w:r>
        <w:rPr>
          <w:sz w:val="21"/>
          <w:szCs w:val="21"/>
        </w:rPr>
        <w:t xml:space="preserve">• Readiness gate prevents incomplete publish</w:t>
      </w:r>
    </w:p>
    <w:p>
      <w:pPr>
        <w:ind w:left="360"/>
        <w:spacing w:after="80"/>
      </w:pPr>
      <w:r>
        <w:rPr>
          <w:sz w:val="21"/>
          <w:szCs w:val="21"/>
        </w:rPr>
        <w:t xml:space="preserve">• External approve mirrors real multi-system LGU coordination</w:t>
      </w:r>
    </w:p>
    <w:p>
      <w:pPr>
        <w:spacing w:after="60"/>
      </w:pPr>
      <w:r>
        <w:rPr>
          <w:i/>
          <w:sz w:val="20"/>
          <w:szCs w:val="20"/>
        </w:rPr>
        <w:t xml:space="preserve">Diagram graphics: see Mermaid in Documents/01_BPMN_AS_IS_and_TO_BE.md (export via mermaid.live)</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