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szCs w:val="32"/>
        </w:rPr>
        <w:t xml:space="preserve">Data Flow Diagram — Microservices View</w:t>
      </w:r>
    </w:p>
    <w:p>
      <w:pPr>
        <w:jc w:val="center"/>
        <w:spacing w:after="120"/>
      </w:pPr>
      <w:r>
        <w:rPr>
          <w:i/>
          <w:sz w:val="22"/>
          <w:szCs w:val="22"/>
        </w:rPr>
        <w:t xml:space="preserve">Disaster Preparedness Training &amp; Simulation Platform</w:t>
      </w:r>
    </w:p>
    <w:p>
      <w:pPr>
        <w:spacing w:before="280" w:after="120"/>
      </w:pPr>
      <w:r>
        <w:rPr>
          <w:b/>
          <w:sz w:val="26"/>
          <w:szCs w:val="26"/>
        </w:rPr>
        <w:t xml:space="preserve">Narrative</w:t>
      </w:r>
    </w:p>
    <w:p>
      <w:pPr>
        <w:jc w:val="both"/>
        <w:spacing w:after="160"/>
      </w:pPr>
      <w:r>
        <w:rPr>
          <w:sz w:val="21"/>
          <w:szCs w:val="21"/>
        </w:rPr>
        <w:t xml:space="preserve">Client requests enter through the web application / API edge. Authentication establishes identity and role. Training and Campaign data flow to the Training store and to Campaign Planning (Group 6). Simulation Core reads plans, hazard profiles, and templates, then writes lifecycle, attendance, and evaluation outcomes. The AI Scenario Generator calls Gemini and stores generated content. Reporting aggregates metrics for dashboards and certificates.</w:t>
      </w:r>
    </w:p>
    <w:p>
      <w:pPr>
        <w:spacing w:before="280" w:after="120"/>
      </w:pPr>
      <w:r>
        <w:rPr>
          <w:b/>
          <w:sz w:val="26"/>
          <w:szCs w:val="26"/>
        </w:rPr>
        <w:t xml:space="preserve">Logical services</w:t>
      </w:r>
    </w:p>
    <w:p>
      <w:pPr>
        <w:ind w:left="360"/>
        <w:spacing w:after="80"/>
      </w:pPr>
      <w:r>
        <w:rPr>
          <w:sz w:val="21"/>
          <w:szCs w:val="21"/>
        </w:rPr>
        <w:t xml:space="preserve">• Authentication &amp; Authorization</w:t>
      </w:r>
    </w:p>
    <w:p>
      <w:pPr>
        <w:ind w:left="360"/>
        <w:spacing w:after="80"/>
      </w:pPr>
      <w:r>
        <w:rPr>
          <w:sz w:val="21"/>
          <w:szCs w:val="21"/>
        </w:rPr>
        <w:t xml:space="preserve">• Disaster Training Management</w:t>
      </w:r>
    </w:p>
    <w:p>
      <w:pPr>
        <w:ind w:left="360"/>
        <w:spacing w:after="80"/>
      </w:pPr>
      <w:r>
        <w:rPr>
          <w:sz w:val="21"/>
          <w:szCs w:val="21"/>
        </w:rPr>
        <w:t xml:space="preserve">• Simulation Core / Event Lifecycle</w:t>
      </w:r>
    </w:p>
    <w:p>
      <w:pPr>
        <w:ind w:left="360"/>
        <w:spacing w:after="80"/>
      </w:pPr>
      <w:r>
        <w:rPr>
          <w:sz w:val="21"/>
          <w:szCs w:val="21"/>
        </w:rPr>
        <w:t xml:space="preserve">• AI Scenario Generator</w:t>
      </w:r>
    </w:p>
    <w:p>
      <w:pPr>
        <w:ind w:left="360"/>
        <w:spacing w:after="80"/>
      </w:pPr>
      <w:r>
        <w:rPr>
          <w:sz w:val="21"/>
          <w:szCs w:val="21"/>
        </w:rPr>
        <w:t xml:space="preserve">• Reporting &amp; Evaluation</w:t>
      </w:r>
    </w:p>
    <w:p>
      <w:pPr>
        <w:spacing w:before="280" w:after="120"/>
      </w:pPr>
      <w:r>
        <w:rPr>
          <w:b/>
          <w:sz w:val="26"/>
          <w:szCs w:val="26"/>
        </w:rPr>
        <w:t xml:space="preserve">External entities</w:t>
      </w:r>
    </w:p>
    <w:p>
      <w:pPr>
        <w:ind w:left="360"/>
        <w:spacing w:after="80"/>
      </w:pPr>
      <w:r>
        <w:rPr>
          <w:sz w:val="21"/>
          <w:szCs w:val="21"/>
        </w:rPr>
        <w:t xml:space="preserve">• LGU users (Admin, Trainers, Evaluator, Staff)</w:t>
      </w:r>
    </w:p>
    <w:p>
      <w:pPr>
        <w:ind w:left="360"/>
        <w:spacing w:after="80"/>
      </w:pPr>
      <w:r>
        <w:rPr>
          <w:sz w:val="21"/>
          <w:szCs w:val="21"/>
        </w:rPr>
        <w:t xml:space="preserve">• Participants</w:t>
      </w:r>
    </w:p>
    <w:p>
      <w:pPr>
        <w:ind w:left="360"/>
        <w:spacing w:after="80"/>
      </w:pPr>
      <w:r>
        <w:rPr>
          <w:sz w:val="21"/>
          <w:szCs w:val="21"/>
        </w:rPr>
        <w:t xml:space="preserve">• Campaign Planning (Group 6)</w:t>
      </w:r>
    </w:p>
    <w:p>
      <w:pPr>
        <w:ind w:left="360"/>
        <w:spacing w:after="80"/>
      </w:pPr>
      <w:r>
        <w:rPr>
          <w:sz w:val="21"/>
          <w:szCs w:val="21"/>
        </w:rPr>
        <w:t xml:space="preserve">• Google Gemini API</w:t>
      </w:r>
    </w:p>
    <w:p>
      <w:pPr>
        <w:ind w:left="360"/>
        <w:spacing w:after="80"/>
      </w:pPr>
      <w:r>
        <w:rPr>
          <w:sz w:val="21"/>
          <w:szCs w:val="21"/>
        </w:rPr>
        <w:t xml:space="preserve">• CPSQC Patrol API (optional)</w:t>
      </w:r>
    </w:p>
    <w:p>
      <w:pPr>
        <w:spacing w:before="280" w:after="120"/>
      </w:pPr>
      <w:r>
        <w:rPr>
          <w:b/>
          <w:sz w:val="26"/>
          <w:szCs w:val="26"/>
        </w:rPr>
        <w:t xml:space="preserve">Data stores</w:t>
      </w:r>
    </w:p>
    <w:p>
      <w:pPr>
        <w:ind w:left="360"/>
        <w:spacing w:after="80"/>
      </w:pPr>
      <w:r>
        <w:rPr>
          <w:sz w:val="21"/>
          <w:szCs w:val="21"/>
        </w:rPr>
        <w:t xml:space="preserve">• Users / Roles DB</w:t>
      </w:r>
    </w:p>
    <w:p>
      <w:pPr>
        <w:ind w:left="360"/>
        <w:spacing w:after="80"/>
      </w:pPr>
      <w:r>
        <w:rPr>
          <w:sz w:val="21"/>
          <w:szCs w:val="21"/>
        </w:rPr>
        <w:t xml:space="preserve">• Training / Campaign DB</w:t>
      </w:r>
    </w:p>
    <w:p>
      <w:pPr>
        <w:ind w:left="360"/>
        <w:spacing w:after="80"/>
      </w:pPr>
      <w:r>
        <w:rPr>
          <w:sz w:val="21"/>
          <w:szCs w:val="21"/>
        </w:rPr>
        <w:t xml:space="preserve">• Simulation / Attendance / Evaluation DB</w:t>
      </w:r>
    </w:p>
    <w:p>
      <w:pPr>
        <w:ind w:left="360"/>
        <w:spacing w:after="80"/>
      </w:pPr>
      <w:r>
        <w:rPr>
          <w:sz w:val="21"/>
          <w:szCs w:val="21"/>
        </w:rPr>
        <w:t xml:space="preserve">• Logs / Audit</w:t>
      </w:r>
    </w:p>
    <w:p>
      <w:pPr>
        <w:spacing w:before="280" w:after="120"/>
      </w:pPr>
      <w:r>
        <w:rPr>
          <w:b/>
          <w:sz w:val="26"/>
          <w:szCs w:val="26"/>
        </w:rPr>
        <w:t xml:space="preserve">Major flows</w:t>
      </w:r>
    </w:p>
    <w:p>
      <w:pPr>
        <w:ind w:left="360"/>
        <w:spacing w:after="80"/>
      </w:pPr>
      <w:r>
        <w:rPr>
          <w:sz w:val="21"/>
          <w:szCs w:val="21"/>
        </w:rPr>
        <w:t xml:space="preserve">• User → Auth: credentials / session</w:t>
      </w:r>
    </w:p>
    <w:p>
      <w:pPr>
        <w:ind w:left="360"/>
        <w:spacing w:after="80"/>
      </w:pPr>
      <w:r>
        <w:rPr>
          <w:sz w:val="21"/>
          <w:szCs w:val="21"/>
        </w:rPr>
        <w:t xml:space="preserve">• Trainer → Training: modules &amp; campaign payload</w:t>
      </w:r>
    </w:p>
    <w:p>
      <w:pPr>
        <w:ind w:left="360"/>
        <w:spacing w:after="80"/>
      </w:pPr>
      <w:r>
        <w:rPr>
          <w:sz w:val="21"/>
          <w:szCs w:val="21"/>
        </w:rPr>
        <w:t xml:space="preserve">• Training ↔ Group 6: list + approve/reject</w:t>
      </w:r>
    </w:p>
    <w:p>
      <w:pPr>
        <w:ind w:left="360"/>
        <w:spacing w:after="80"/>
      </w:pPr>
      <w:r>
        <w:rPr>
          <w:sz w:val="21"/>
          <w:szCs w:val="21"/>
        </w:rPr>
        <w:t xml:space="preserve">• Lead Trainer → Simulation: plan, template, readiness</w:t>
      </w:r>
    </w:p>
    <w:p>
      <w:pPr>
        <w:ind w:left="360"/>
        <w:spacing w:after="80"/>
      </w:pPr>
      <w:r>
        <w:rPr>
          <w:sz w:val="21"/>
          <w:szCs w:val="21"/>
        </w:rPr>
        <w:t xml:space="preserve">• AI ↔ Gemini: prompt and generated scenario</w:t>
      </w:r>
    </w:p>
    <w:p>
      <w:pPr>
        <w:ind w:left="360"/>
        <w:spacing w:after="80"/>
      </w:pPr>
      <w:r>
        <w:rPr>
          <w:sz w:val="21"/>
          <w:szCs w:val="21"/>
        </w:rPr>
        <w:t xml:space="preserve">• Evaluator → Reporting: scores, attendance, certificates</w:t>
      </w:r>
    </w:p>
    <w:p>
      <w:pPr>
        <w:spacing w:before="280" w:after="120"/>
      </w:pPr>
      <w:r>
        <w:rPr>
          <w:b/>
          <w:sz w:val="26"/>
          <w:szCs w:val="26"/>
        </w:rPr>
        <w:t xml:space="preserve">Suggested caption</w:t>
      </w:r>
    </w:p>
    <w:p>
      <w:pPr>
        <w:jc w:val="both"/>
        <w:spacing w:after="160"/>
      </w:pPr>
      <w:r>
        <w:rPr>
          <w:sz w:val="21"/>
          <w:szCs w:val="21"/>
        </w:rPr>
        <w:t xml:space="preserve">Figure __. Data Flow Diagram of Microservices in the Disaster Preparedness Training and Simulation Platform.</w:t>
      </w:r>
    </w:p>
    <w:p>
      <w:pPr>
        <w:spacing w:before="280" w:after="120"/>
      </w:pPr>
      <w:r>
        <w:rPr>
          <w:b/>
          <w:sz w:val="26"/>
          <w:szCs w:val="26"/>
        </w:rPr>
        <w:t xml:space="preserve">Manuscript paragraph</w:t>
      </w:r>
    </w:p>
    <w:p>
      <w:pPr>
        <w:jc w:val="both"/>
        <w:spacing w:after="160"/>
      </w:pPr>
      <w:r>
        <w:rPr>
          <w:sz w:val="21"/>
          <w:szCs w:val="21"/>
        </w:rPr>
        <w:t xml:space="preserve">The microservices data-flow diagram illustrates how information moves among authentication, training management, simulation, AI scenario generation, and reporting. External partners exchange bounded payloads with training and simulation services. Persistent stores hold users, training/campaign records, and simulation results, while Gemini is invoked only on the AI path. Each service owns a clear data responsibility even when deployed together on the Laravel host for the LGU pilot.</w:t>
      </w:r>
    </w:p>
    <w:p>
      <w:pPr>
        <w:spacing w:after="60"/>
      </w:pPr>
      <w:r>
        <w:rPr>
          <w:i/>
          <w:sz w:val="20"/>
          <w:szCs w:val="20"/>
        </w:rPr>
        <w:t xml:space="preserve">Diagram: Mermaid in Documents/03_Microservices_Data_Flow_Diagram.md</w:t>
      </w:r>
    </w:p>
    <w:sectPr>
      <w:pgSz w:w="12240" w:h="15840"/>
      <w:pgMar w:top="1440" w:right="1440" w:bottom="1440" w:left="1440"/>
    </w:sectPr>
  </w:body>
</w:document>
</file>

<file path=word/_rels/document.xml.rels><?xml version="1.0" encoding="UTF-8" standalone="yes"?>
<Relationships xmlns="http://schemas.openxmlformats.org/package/2006/relationships">
</Relationships>
</file>