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Communication Pattern for Microservices</w:t>
      </w:r>
    </w:p>
    <w:p>
      <w:pPr>
        <w:jc w:val="center"/>
        <w:spacing w:after="120"/>
      </w:pPr>
      <w:r>
        <w:rPr>
          <w:i/>
          <w:sz w:val="22"/>
          <w:szCs w:val="22"/>
        </w:rPr>
        <w:t xml:space="preserve">Disaster Preparedness Training &amp; Simulation Platform</w:t>
      </w:r>
    </w:p>
    <w:p>
      <w:pPr>
        <w:spacing w:before="280" w:after="120"/>
      </w:pPr>
      <w:r>
        <w:rPr>
          <w:b/>
          <w:sz w:val="26"/>
          <w:szCs w:val="26"/>
        </w:rPr>
        <w:t xml:space="preserve">Purpose</w:t>
      </w:r>
    </w:p>
    <w:p>
      <w:pPr>
        <w:jc w:val="both"/>
        <w:spacing w:after="160"/>
      </w:pPr>
      <w:r>
        <w:rPr>
          <w:sz w:val="21"/>
          <w:szCs w:val="21"/>
        </w:rPr>
        <w:t xml:space="preserve">This document explains how services communicate. Primary pattern is synchronous HTTPS request/response through the application edge with role-based access. Partners use REST pull and status patch. Outbound integrations call Gemini and optional CPSQC with API keys. Persistence uses shared MySQL with logical module ownership (modular monolith deployment).</w:t>
      </w:r>
    </w:p>
    <w:p>
      <w:pPr>
        <w:spacing w:before="280" w:after="120"/>
      </w:pPr>
      <w:r>
        <w:rPr>
          <w:b/>
          <w:sz w:val="26"/>
          <w:szCs w:val="26"/>
        </w:rPr>
        <w:t xml:space="preserve">Patterns used</w:t>
      </w:r>
    </w:p>
    <w:p>
      <w:pPr>
        <w:ind w:left="360"/>
        <w:spacing w:after="80"/>
      </w:pPr>
      <w:r>
        <w:rPr>
          <w:sz w:val="21"/>
          <w:szCs w:val="21"/>
        </w:rPr>
        <w:t xml:space="preserve">• Synchronous request/response (REST/HTTP)</w:t>
      </w:r>
    </w:p>
    <w:p>
      <w:pPr>
        <w:ind w:left="360"/>
        <w:spacing w:after="80"/>
      </w:pPr>
      <w:r>
        <w:rPr>
          <w:sz w:val="21"/>
          <w:szCs w:val="21"/>
        </w:rPr>
        <w:t xml:space="preserve">• API Gateway / edge routing</w:t>
      </w:r>
    </w:p>
    <w:p>
      <w:pPr>
        <w:ind w:left="360"/>
        <w:spacing w:after="80"/>
      </w:pPr>
      <w:r>
        <w:rPr>
          <w:sz w:val="21"/>
          <w:szCs w:val="21"/>
        </w:rPr>
        <w:t xml:space="preserve">• External API integration (Gemini, CPSQC)</w:t>
      </w:r>
    </w:p>
    <w:p>
      <w:pPr>
        <w:ind w:left="360"/>
        <w:spacing w:after="80"/>
      </w:pPr>
      <w:r>
        <w:rPr>
          <w:sz w:val="21"/>
          <w:szCs w:val="21"/>
        </w:rPr>
        <w:t xml:space="preserve">• Partner pull + status patch (Group 6)</w:t>
      </w:r>
    </w:p>
    <w:p>
      <w:pPr>
        <w:ind w:left="360"/>
        <w:spacing w:after="80"/>
      </w:pPr>
      <w:r>
        <w:rPr>
          <w:sz w:val="21"/>
          <w:szCs w:val="21"/>
        </w:rPr>
        <w:t xml:space="preserve">• Shared-database modular monolith</w:t>
      </w:r>
    </w:p>
    <w:p>
      <w:pPr>
        <w:spacing w:before="280" w:after="120"/>
      </w:pPr>
      <w:r>
        <w:rPr>
          <w:b/>
          <w:sz w:val="26"/>
          <w:szCs w:val="26"/>
        </w:rPr>
        <w:t xml:space="preserve">Interaction map</w:t>
      </w:r>
    </w:p>
    <w:p>
      <w:pPr>
        <w:ind w:left="360"/>
        <w:spacing w:after="80"/>
      </w:pPr>
      <w:r>
        <w:rPr>
          <w:sz w:val="21"/>
          <w:szCs w:val="21"/>
        </w:rPr>
        <w:t xml:space="preserve">• User ↔ Web App: sync Inertia/HTTPS</w:t>
      </w:r>
    </w:p>
    <w:p>
      <w:pPr>
        <w:ind w:left="360"/>
        <w:spacing w:after="80"/>
      </w:pPr>
      <w:r>
        <w:rPr>
          <w:sz w:val="21"/>
          <w:szCs w:val="21"/>
        </w:rPr>
        <w:t xml:space="preserve">• Training ↔ Group 6: sync REST pull/PATCH</w:t>
      </w:r>
    </w:p>
    <w:p>
      <w:pPr>
        <w:ind w:left="360"/>
        <w:spacing w:after="80"/>
      </w:pPr>
      <w:r>
        <w:rPr>
          <w:sz w:val="21"/>
          <w:szCs w:val="21"/>
        </w:rPr>
        <w:t xml:space="preserve">• AI ↔ Gemini: sync outbound REST</w:t>
      </w:r>
    </w:p>
    <w:p>
      <w:pPr>
        <w:ind w:left="360"/>
        <w:spacing w:after="80"/>
      </w:pPr>
      <w:r>
        <w:rPr>
          <w:sz w:val="21"/>
          <w:szCs w:val="21"/>
        </w:rPr>
        <w:t xml:space="preserve">• Simulation ↔ CPSQC: sync outbound REST when enabled</w:t>
      </w:r>
    </w:p>
    <w:p>
      <w:pPr>
        <w:ind w:left="360"/>
        <w:spacing w:after="80"/>
      </w:pPr>
      <w:r>
        <w:rPr>
          <w:sz w:val="21"/>
          <w:szCs w:val="21"/>
        </w:rPr>
        <w:t xml:space="preserve">• Services ↔ MySQL: sync ORM/SQL</w:t>
      </w:r>
    </w:p>
    <w:p>
      <w:pPr>
        <w:spacing w:before="280" w:after="120"/>
      </w:pPr>
      <w:r>
        <w:rPr>
          <w:b/>
          <w:sz w:val="26"/>
          <w:szCs w:val="26"/>
        </w:rPr>
        <w:t xml:space="preserve">Note on async</w:t>
      </w:r>
    </w:p>
    <w:p>
      <w:pPr>
        <w:jc w:val="both"/>
        <w:spacing w:after="160"/>
      </w:pPr>
      <w:r>
        <w:rPr>
          <w:sz w:val="21"/>
          <w:szCs w:val="21"/>
        </w:rPr>
        <w:t xml:space="preserve">No message broker (Kafka/RabbitMQ) is required for the current pilot. Async event bus can be a future enhancement for notifications and reporting at larger scale.</w:t>
      </w:r>
    </w:p>
    <w:p>
      <w:pPr>
        <w:spacing w:before="280" w:after="120"/>
      </w:pPr>
      <w:r>
        <w:rPr>
          <w:b/>
          <w:sz w:val="26"/>
          <w:szCs w:val="26"/>
        </w:rPr>
        <w:t xml:space="preserve">Suggested caption</w:t>
      </w:r>
    </w:p>
    <w:p>
      <w:pPr>
        <w:jc w:val="both"/>
        <w:spacing w:after="160"/>
      </w:pPr>
      <w:r>
        <w:rPr>
          <w:sz w:val="21"/>
          <w:szCs w:val="21"/>
        </w:rPr>
        <w:t xml:space="preserve">Figure __. Communication Patterns among Microservices of the Disaster Preparedness Training Platform.</w:t>
      </w:r>
    </w:p>
    <w:p>
      <w:pPr>
        <w:spacing w:before="280" w:after="120"/>
      </w:pPr>
      <w:r>
        <w:rPr>
          <w:b/>
          <w:sz w:val="26"/>
          <w:szCs w:val="26"/>
        </w:rPr>
        <w:t xml:space="preserve">Manuscript paragraph</w:t>
      </w:r>
    </w:p>
    <w:p>
      <w:pPr>
        <w:jc w:val="both"/>
        <w:spacing w:after="160"/>
      </w:pPr>
      <w:r>
        <w:rPr>
          <w:sz w:val="21"/>
          <w:szCs w:val="21"/>
        </w:rPr>
        <w:t xml:space="preserve">Services communicate primarily through synchronous HTTPS via the application edge, which enforces authentication and RBAC. Training management exposes partner APIs so Campaign Planning can pull requests and push approvals. The AI path calls Gemini synchronously and persists results. Optional CPSQC calls follow the same outbound API pattern. A shared MySQL database with logical ownership fits the LGU deployment model while preserving a clear microservices communication story for documentation and defense.</w:t>
      </w:r>
    </w:p>
    <w:p>
      <w:pPr>
        <w:spacing w:before="280" w:after="120"/>
      </w:pPr>
      <w:r>
        <w:rPr>
          <w:b/>
          <w:sz w:val="26"/>
          <w:szCs w:val="26"/>
        </w:rPr>
        <w:t xml:space="preserve">Defense talking points</w:t>
      </w:r>
    </w:p>
    <w:p>
      <w:pPr>
        <w:ind w:left="360"/>
        <w:spacing w:after="80"/>
      </w:pPr>
      <w:r>
        <w:rPr>
          <w:sz w:val="21"/>
          <w:szCs w:val="21"/>
        </w:rPr>
        <w:t xml:space="preserve">• Sync REST fits transactional LGU workflows</w:t>
      </w:r>
    </w:p>
    <w:p>
      <w:pPr>
        <w:ind w:left="360"/>
        <w:spacing w:after="80"/>
      </w:pPr>
      <w:r>
        <w:rPr>
          <w:sz w:val="21"/>
          <w:szCs w:val="21"/>
        </w:rPr>
        <w:t xml:space="preserve">• Edge = security + routing, not a full service mesh</w:t>
      </w:r>
    </w:p>
    <w:p>
      <w:pPr>
        <w:ind w:left="360"/>
        <w:spacing w:after="80"/>
      </w:pPr>
      <w:r>
        <w:rPr>
          <w:sz w:val="21"/>
          <w:szCs w:val="21"/>
        </w:rPr>
        <w:t xml:space="preserve">• Externals never write directly to our DB</w:t>
      </w:r>
    </w:p>
    <w:p>
      <w:pPr>
        <w:ind w:left="360"/>
        <w:spacing w:after="80"/>
      </w:pPr>
      <w:r>
        <w:rPr>
          <w:sz w:val="21"/>
          <w:szCs w:val="21"/>
        </w:rPr>
        <w:t xml:space="preserve">• Message bus = future work, not a pilot blocker</w:t>
      </w:r>
    </w:p>
    <w:p>
      <w:pPr>
        <w:spacing w:after="60"/>
      </w:pPr>
      <w:r>
        <w:rPr>
          <w:i/>
          <w:sz w:val="20"/>
          <w:szCs w:val="20"/>
        </w:rPr>
        <w:t xml:space="preserve">Diagram: Mermaid in Documents/04_Microservices_Communication_Pattern.md</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