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  <w:szCs w:val="32"/>
        </w:rPr>
        <w:t xml:space="preserve">Business Process Analysis (BPA)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Disaster Preparedness Drill &amp; Simulation — San Agustin Pilot</w:t>
      </w:r>
    </w:p>
    <w:p>
      <w:pPr>
        <w:spacing w:before="280" w:after="120"/>
      </w:pPr>
      <w:r>
        <w:rPr>
          <w:b/>
          <w:sz w:val="26"/>
          <w:szCs w:val="26"/>
        </w:rPr>
        <w:t xml:space="preserve">Process identification</w:t>
      </w:r>
    </w:p>
    <w:p>
      <w:pPr>
        <w:jc w:val="both"/>
        <w:spacing w:after="160"/>
      </w:pPr>
      <w:r>
        <w:rPr>
          <w:sz w:val="21"/>
          <w:szCs w:val="21"/>
        </w:rPr>
        <w:t xml:space="preserve">Process: Barangay/LGU disaster preparedness drill and simulation conduct. Trigger: need to run a preparedness drill. AS-IS owner: trainer/officer (manual). TO-BE owner: Lead Trainer / LGU Admin; Evaluator for scoring and attendance.</w:t>
      </w:r>
    </w:p>
    <w:p>
      <w:pPr>
        <w:spacing w:before="280" w:after="120"/>
      </w:pPr>
      <w:r>
        <w:rPr>
          <w:b/>
          <w:sz w:val="26"/>
          <w:szCs w:val="26"/>
        </w:rPr>
        <w:t xml:space="preserve">AS-IS (manual)</w:t>
      </w:r>
    </w:p>
    <w:p>
      <w:pPr>
        <w:ind w:left="360"/>
        <w:spacing w:after="80"/>
      </w:pPr>
      <w:r>
        <w:rPr>
          <w:sz w:val="21"/>
          <w:szCs w:val="21"/>
        </w:rPr>
        <w:t xml:space="preserve">• Informal drill request → static paper/slide scenario → chat/bulletin notify</w:t>
      </w:r>
    </w:p>
    <w:p>
      <w:pPr>
        <w:ind w:left="360"/>
        <w:spacing w:after="80"/>
      </w:pPr>
      <w:r>
        <w:rPr>
          <w:sz w:val="21"/>
          <w:szCs w:val="21"/>
        </w:rPr>
        <w:t xml:space="preserve">• Manual attendance → on-site drill → handwritten notes</w:t>
      </w:r>
    </w:p>
    <w:p>
      <w:pPr>
        <w:ind w:left="360"/>
        <w:spacing w:after="80"/>
      </w:pPr>
      <w:r>
        <w:rPr>
          <w:sz w:val="21"/>
          <w:szCs w:val="21"/>
        </w:rPr>
        <w:t xml:space="preserve">• Delayed Word/Excel report → paper/personal-drive archive (limited reuse)</w:t>
      </w:r>
    </w:p>
    <w:p>
      <w:pPr>
        <w:spacing w:before="280" w:after="120"/>
      </w:pPr>
      <w:r>
        <w:rPr>
          <w:b/>
          <w:sz w:val="26"/>
          <w:szCs w:val="26"/>
        </w:rPr>
        <w:t xml:space="preserve">AS-IS pain points</w:t>
      </w:r>
    </w:p>
    <w:p>
      <w:pPr>
        <w:ind w:left="360"/>
        <w:spacing w:after="80"/>
      </w:pPr>
      <w:r>
        <w:rPr>
          <w:sz w:val="21"/>
          <w:szCs w:val="21"/>
        </w:rPr>
        <w:t xml:space="preserve">• Static scenarios; informal notifications; paper attendance errors</w:t>
      </w:r>
    </w:p>
    <w:p>
      <w:pPr>
        <w:ind w:left="360"/>
        <w:spacing w:after="80"/>
      </w:pPr>
      <w:r>
        <w:rPr>
          <w:sz w:val="21"/>
          <w:szCs w:val="21"/>
        </w:rPr>
        <w:t xml:space="preserve">• No readiness gate; delayed evaluation; fragmented partner coordination</w:t>
      </w:r>
    </w:p>
    <w:p>
      <w:pPr>
        <w:spacing w:before="280" w:after="120"/>
      </w:pPr>
      <w:r>
        <w:rPr>
          <w:b/>
          <w:sz w:val="26"/>
          <w:szCs w:val="26"/>
        </w:rPr>
        <w:t xml:space="preserve">TO-BE (digital platform)</w:t>
      </w:r>
    </w:p>
    <w:p>
      <w:pPr>
        <w:jc w:val="both"/>
        <w:spacing w:after="160"/>
      </w:pPr>
      <w:r>
        <w:rPr>
          <w:sz w:val="21"/>
          <w:szCs w:val="21"/>
        </w:rPr>
        <w:t xml:space="preserve">Protected flow: Approved Campaign → Exercise Plan → Use Template → Readiness → Publish → Monitoring.</w:t>
      </w:r>
    </w:p>
    <w:p>
      <w:pPr>
        <w:ind w:left="360"/>
        <w:spacing w:after="80"/>
      </w:pPr>
      <w:r>
        <w:rPr>
          <w:sz w:val="21"/>
          <w:szCs w:val="21"/>
        </w:rPr>
        <w:t xml:space="preserve">• Campaign request → Group 6 approve/reject → Exercise Plan (+ template)</w:t>
      </w:r>
    </w:p>
    <w:p>
      <w:pPr>
        <w:ind w:left="360"/>
        <w:spacing w:after="80"/>
      </w:pPr>
      <w:r>
        <w:rPr>
          <w:sz w:val="21"/>
          <w:szCs w:val="21"/>
        </w:rPr>
        <w:t xml:space="preserve">• Readiness checklist → Publish → Monitor attendance/lifecycle/evaluation</w:t>
      </w:r>
    </w:p>
    <w:p>
      <w:pPr>
        <w:ind w:left="360"/>
        <w:spacing w:after="80"/>
      </w:pPr>
      <w:r>
        <w:rPr>
          <w:sz w:val="21"/>
          <w:szCs w:val="21"/>
        </w:rPr>
        <w:t xml:space="preserve">• Certificates / AAR → digitized reusable records</w:t>
      </w:r>
    </w:p>
    <w:p>
      <w:pPr>
        <w:spacing w:before="280" w:after="120"/>
      </w:pPr>
      <w:r>
        <w:rPr>
          <w:b/>
          <w:sz w:val="26"/>
          <w:szCs w:val="26"/>
        </w:rPr>
        <w:t xml:space="preserve">Key improvements</w:t>
      </w:r>
    </w:p>
    <w:p>
      <w:pPr>
        <w:ind w:left="360"/>
        <w:spacing w:after="80"/>
      </w:pPr>
      <w:r>
        <w:rPr>
          <w:sz w:val="21"/>
          <w:szCs w:val="21"/>
        </w:rPr>
        <w:t xml:space="preserve">• Gated lifecycle and role-aware access (Lead / Assistant / Evaluator)</w:t>
      </w:r>
    </w:p>
    <w:p>
      <w:pPr>
        <w:ind w:left="360"/>
        <w:spacing w:after="80"/>
      </w:pPr>
      <w:r>
        <w:rPr>
          <w:sz w:val="21"/>
          <w:szCs w:val="21"/>
        </w:rPr>
        <w:t xml:space="preserve">• AI scenarios (Gemini); digital attendance and scoring</w:t>
      </w:r>
    </w:p>
    <w:p>
      <w:pPr>
        <w:ind w:left="360"/>
        <w:spacing w:after="80"/>
      </w:pPr>
      <w:r>
        <w:rPr>
          <w:sz w:val="21"/>
          <w:szCs w:val="21"/>
        </w:rPr>
        <w:t xml:space="preserve">• Partner APIs (Campaign Planning, CPSQC); San Agustin hazard docs</w:t>
      </w:r>
    </w:p>
    <w:p>
      <w:pPr>
        <w:spacing w:before="280" w:after="120"/>
      </w:pPr>
      <w:r>
        <w:rPr>
          <w:b/>
          <w:sz w:val="26"/>
          <w:szCs w:val="26"/>
        </w:rPr>
        <w:t xml:space="preserve">Suggested caption</w:t>
      </w:r>
    </w:p>
    <w:p>
      <w:pPr>
        <w:jc w:val="both"/>
        <w:spacing w:after="160"/>
      </w:pPr>
      <w:r>
        <w:rPr>
          <w:sz w:val="21"/>
          <w:szCs w:val="21"/>
        </w:rPr>
        <w:t xml:space="preserve">Figure __. Business Process Analysis (AS-IS vs TO-BE) of Disaster Preparedness Drill and Simulation Conduct for Barangay San Agustin.</w:t>
      </w:r>
    </w:p>
    <w:p>
      <w:pPr>
        <w:spacing w:before="280" w:after="120"/>
      </w:pPr>
      <w:r>
        <w:rPr>
          <w:b/>
          <w:sz w:val="26"/>
          <w:szCs w:val="26"/>
        </w:rPr>
        <w:t xml:space="preserve">Manuscript paragraph</w:t>
      </w:r>
    </w:p>
    <w:p>
      <w:pPr>
        <w:jc w:val="both"/>
        <w:spacing w:after="160"/>
      </w:pPr>
      <w:r>
        <w:rPr>
          <w:sz w:val="21"/>
          <w:szCs w:val="21"/>
        </w:rPr>
        <w:t xml:space="preserve">The Business Process Analysis compares the manual barangay drill process with the proposed digital lifecycle of the training and simulation platform. In the AS-IS state, drills rely on static scenarios, informal notification, paper attendance, and delayed evaluation. The TO-BE process introduces a gated flow from approved campaign through exercise planning, readiness validation, publishing, and monitoring with digital attendance, evaluation, and certification, supporting RA 10121 preparedness practice for the San Agustin pilot.</w:t>
      </w:r>
    </w:p>
    <w:p>
      <w:pPr>
        <w:spacing w:after="60"/>
      </w:pPr>
      <w:r>
        <w:rPr>
          <w:i/>
          <w:sz w:val="20"/>
          <w:szCs w:val="20"/>
        </w:rPr>
        <w:t xml:space="preserve">See also Documents/07_BPA_Business_Process_Analysis.md and .png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>
</Relationships>
</file>