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1B45177F" w:rsidR="00132914" w:rsidRPr="0042587E" w:rsidRDefault="00201B94" w:rsidP="00132914">
      <w:pPr>
        <w:pStyle w:val="Title"/>
        <w:spacing w:line="276" w:lineRule="auto"/>
        <w:rPr>
          <w:color w:val="323E4F"/>
          <w:szCs w:val="140"/>
        </w:rPr>
      </w:pPr>
      <w:r w:rsidRPr="0042587E">
        <w:rPr>
          <w:color w:val="323E4F"/>
          <w:szCs w:val="140"/>
        </w:rPr>
        <w:t xml:space="preserve">Práctica </w:t>
      </w:r>
      <w:r w:rsidR="0042587E" w:rsidRPr="0042587E">
        <w:rPr>
          <w:color w:val="323E4F"/>
          <w:szCs w:val="140"/>
        </w:rPr>
        <w:t>2</w:t>
      </w:r>
      <w:r w:rsidR="00654D97">
        <w:rPr>
          <w:color w:val="323E4F"/>
          <w:szCs w:val="140"/>
        </w:rPr>
        <w:t>.2</w:t>
      </w:r>
    </w:p>
    <w:p w14:paraId="2526E381" w14:textId="05A6868F" w:rsidR="004368BA" w:rsidRPr="0042587E" w:rsidRDefault="003C09B2" w:rsidP="0042587E">
      <w:pPr>
        <w:pStyle w:val="Title"/>
        <w:spacing w:line="276" w:lineRule="auto"/>
        <w:rPr>
          <w:color w:val="323E4F"/>
          <w:sz w:val="100"/>
          <w:szCs w:val="100"/>
        </w:rPr>
      </w:pPr>
      <w:r w:rsidRPr="003C09B2">
        <w:rPr>
          <w:color w:val="323E4F"/>
          <w:sz w:val="100"/>
          <w:szCs w:val="100"/>
        </w:rPr>
        <w:t>CONCEPTOS FUNDAMENTALES DE PARALELISMO</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9919335"/>
      <w:r>
        <w:lastRenderedPageBreak/>
        <w:t>Indice:</w:t>
      </w:r>
      <w:bookmarkEnd w:id="0"/>
    </w:p>
    <w:p w14:paraId="7A61EB35" w14:textId="547753D9" w:rsidR="00B97308"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89919335" w:history="1">
        <w:r w:rsidR="00B97308" w:rsidRPr="001571C2">
          <w:rPr>
            <w:rStyle w:val="Hyperlink"/>
            <w:noProof/>
          </w:rPr>
          <w:t>Indice:</w:t>
        </w:r>
        <w:r w:rsidR="00B97308">
          <w:rPr>
            <w:noProof/>
            <w:webHidden/>
          </w:rPr>
          <w:tab/>
        </w:r>
        <w:r w:rsidR="00B97308">
          <w:rPr>
            <w:noProof/>
            <w:webHidden/>
          </w:rPr>
          <w:fldChar w:fldCharType="begin"/>
        </w:r>
        <w:r w:rsidR="00B97308">
          <w:rPr>
            <w:noProof/>
            <w:webHidden/>
          </w:rPr>
          <w:instrText xml:space="preserve"> PAGEREF _Toc189919335 \h </w:instrText>
        </w:r>
        <w:r w:rsidR="00B97308">
          <w:rPr>
            <w:noProof/>
            <w:webHidden/>
          </w:rPr>
        </w:r>
        <w:r w:rsidR="00B97308">
          <w:rPr>
            <w:noProof/>
            <w:webHidden/>
          </w:rPr>
          <w:fldChar w:fldCharType="separate"/>
        </w:r>
        <w:r w:rsidR="00B97308">
          <w:rPr>
            <w:noProof/>
            <w:webHidden/>
          </w:rPr>
          <w:t>2</w:t>
        </w:r>
        <w:r w:rsidR="00B97308">
          <w:rPr>
            <w:noProof/>
            <w:webHidden/>
          </w:rPr>
          <w:fldChar w:fldCharType="end"/>
        </w:r>
      </w:hyperlink>
    </w:p>
    <w:p w14:paraId="19894239" w14:textId="38BFD55C" w:rsidR="00B97308" w:rsidRDefault="00B97308">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9919336" w:history="1">
        <w:r w:rsidRPr="001571C2">
          <w:rPr>
            <w:rStyle w:val="Hyperlink"/>
            <w:noProof/>
          </w:rPr>
          <w:t>1.</w:t>
        </w:r>
        <w:r>
          <w:rPr>
            <w:rFonts w:eastAsiaTheme="minorEastAsia" w:cstheme="minorBidi"/>
            <w:b w:val="0"/>
            <w:bCs w:val="0"/>
            <w:noProof/>
            <w:color w:val="auto"/>
            <w:kern w:val="2"/>
            <w:sz w:val="24"/>
            <w:szCs w:val="24"/>
            <w:lang w:eastAsia="es-ES"/>
            <w14:ligatures w14:val="standardContextual"/>
          </w:rPr>
          <w:tab/>
        </w:r>
        <w:r w:rsidRPr="001571C2">
          <w:rPr>
            <w:rStyle w:val="Hyperlink"/>
            <w:noProof/>
          </w:rPr>
          <w:t>Introdución</w:t>
        </w:r>
        <w:r>
          <w:rPr>
            <w:noProof/>
            <w:webHidden/>
          </w:rPr>
          <w:tab/>
        </w:r>
        <w:r>
          <w:rPr>
            <w:noProof/>
            <w:webHidden/>
          </w:rPr>
          <w:fldChar w:fldCharType="begin"/>
        </w:r>
        <w:r>
          <w:rPr>
            <w:noProof/>
            <w:webHidden/>
          </w:rPr>
          <w:instrText xml:space="preserve"> PAGEREF _Toc189919336 \h </w:instrText>
        </w:r>
        <w:r>
          <w:rPr>
            <w:noProof/>
            <w:webHidden/>
          </w:rPr>
        </w:r>
        <w:r>
          <w:rPr>
            <w:noProof/>
            <w:webHidden/>
          </w:rPr>
          <w:fldChar w:fldCharType="separate"/>
        </w:r>
        <w:r>
          <w:rPr>
            <w:noProof/>
            <w:webHidden/>
          </w:rPr>
          <w:t>2</w:t>
        </w:r>
        <w:r>
          <w:rPr>
            <w:noProof/>
            <w:webHidden/>
          </w:rPr>
          <w:fldChar w:fldCharType="end"/>
        </w:r>
      </w:hyperlink>
    </w:p>
    <w:p w14:paraId="41BE42D3" w14:textId="2C8007E5" w:rsidR="00B97308" w:rsidRDefault="00B97308">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9919337" w:history="1">
        <w:r w:rsidRPr="001571C2">
          <w:rPr>
            <w:rStyle w:val="Hyperlink"/>
            <w:noProof/>
          </w:rPr>
          <w:t>2.</w:t>
        </w:r>
        <w:r>
          <w:rPr>
            <w:rFonts w:eastAsiaTheme="minorEastAsia" w:cstheme="minorBidi"/>
            <w:b w:val="0"/>
            <w:bCs w:val="0"/>
            <w:noProof/>
            <w:color w:val="auto"/>
            <w:kern w:val="2"/>
            <w:sz w:val="24"/>
            <w:szCs w:val="24"/>
            <w:lang w:eastAsia="es-ES"/>
            <w14:ligatures w14:val="standardContextual"/>
          </w:rPr>
          <w:tab/>
        </w:r>
        <w:r w:rsidRPr="001571C2">
          <w:rPr>
            <w:rStyle w:val="Hyperlink"/>
            <w:noProof/>
          </w:rPr>
          <w:t>Ejercicio 1 (COMPARACIÓN DE LEY DE AMDAHL Y LEY DE GUSTAFSON)</w:t>
        </w:r>
        <w:r>
          <w:rPr>
            <w:noProof/>
            <w:webHidden/>
          </w:rPr>
          <w:tab/>
        </w:r>
        <w:r>
          <w:rPr>
            <w:noProof/>
            <w:webHidden/>
          </w:rPr>
          <w:fldChar w:fldCharType="begin"/>
        </w:r>
        <w:r>
          <w:rPr>
            <w:noProof/>
            <w:webHidden/>
          </w:rPr>
          <w:instrText xml:space="preserve"> PAGEREF _Toc189919337 \h </w:instrText>
        </w:r>
        <w:r>
          <w:rPr>
            <w:noProof/>
            <w:webHidden/>
          </w:rPr>
        </w:r>
        <w:r>
          <w:rPr>
            <w:noProof/>
            <w:webHidden/>
          </w:rPr>
          <w:fldChar w:fldCharType="separate"/>
        </w:r>
        <w:r>
          <w:rPr>
            <w:noProof/>
            <w:webHidden/>
          </w:rPr>
          <w:t>3</w:t>
        </w:r>
        <w:r>
          <w:rPr>
            <w:noProof/>
            <w:webHidden/>
          </w:rPr>
          <w:fldChar w:fldCharType="end"/>
        </w:r>
      </w:hyperlink>
    </w:p>
    <w:p w14:paraId="3B166262" w14:textId="7A124D0B" w:rsidR="00B97308" w:rsidRDefault="00B97308">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9919338" w:history="1">
        <w:r w:rsidRPr="001571C2">
          <w:rPr>
            <w:rStyle w:val="Hyperlink"/>
            <w:noProof/>
          </w:rPr>
          <w:t>3.</w:t>
        </w:r>
        <w:r>
          <w:rPr>
            <w:rFonts w:eastAsiaTheme="minorEastAsia" w:cstheme="minorBidi"/>
            <w:b w:val="0"/>
            <w:bCs w:val="0"/>
            <w:noProof/>
            <w:color w:val="auto"/>
            <w:kern w:val="2"/>
            <w:sz w:val="24"/>
            <w:szCs w:val="24"/>
            <w:lang w:eastAsia="es-ES"/>
            <w14:ligatures w14:val="standardContextual"/>
          </w:rPr>
          <w:tab/>
        </w:r>
        <w:r w:rsidRPr="001571C2">
          <w:rPr>
            <w:rStyle w:val="Hyperlink"/>
            <w:noProof/>
          </w:rPr>
          <w:t>Ejercicio 2 (OPTIMIZACIÓN DE UN PROCESO INDUSTRIAL MEDIANTE PARALELIZACIÓN)</w:t>
        </w:r>
        <w:r>
          <w:rPr>
            <w:noProof/>
            <w:webHidden/>
          </w:rPr>
          <w:tab/>
        </w:r>
        <w:r>
          <w:rPr>
            <w:noProof/>
            <w:webHidden/>
          </w:rPr>
          <w:fldChar w:fldCharType="begin"/>
        </w:r>
        <w:r>
          <w:rPr>
            <w:noProof/>
            <w:webHidden/>
          </w:rPr>
          <w:instrText xml:space="preserve"> PAGEREF _Toc189919338 \h </w:instrText>
        </w:r>
        <w:r>
          <w:rPr>
            <w:noProof/>
            <w:webHidden/>
          </w:rPr>
        </w:r>
        <w:r>
          <w:rPr>
            <w:noProof/>
            <w:webHidden/>
          </w:rPr>
          <w:fldChar w:fldCharType="separate"/>
        </w:r>
        <w:r>
          <w:rPr>
            <w:noProof/>
            <w:webHidden/>
          </w:rPr>
          <w:t>4</w:t>
        </w:r>
        <w:r>
          <w:rPr>
            <w:noProof/>
            <w:webHidden/>
          </w:rPr>
          <w:fldChar w:fldCharType="end"/>
        </w:r>
      </w:hyperlink>
    </w:p>
    <w:p w14:paraId="195BCCE7" w14:textId="64C91940" w:rsidR="00201B94" w:rsidRPr="00E74303" w:rsidRDefault="006621B1" w:rsidP="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13823E8" w14:textId="77777777" w:rsidR="00201B94" w:rsidRPr="00201B94" w:rsidRDefault="00201B94" w:rsidP="00201B94"/>
    <w:p w14:paraId="217EC084" w14:textId="57DC4DDE" w:rsidR="00E02B3D" w:rsidRDefault="002C6683" w:rsidP="00E02B3D">
      <w:pPr>
        <w:pStyle w:val="Heading2"/>
        <w:numPr>
          <w:ilvl w:val="0"/>
          <w:numId w:val="8"/>
        </w:numPr>
        <w:tabs>
          <w:tab w:val="num" w:pos="360"/>
        </w:tabs>
        <w:spacing w:before="203"/>
        <w:ind w:left="0" w:firstLine="0"/>
        <w:rPr>
          <w:color w:val="5B9BD5"/>
        </w:rPr>
      </w:pPr>
      <w:bookmarkStart w:id="1" w:name="_Toc189919336"/>
      <w:r>
        <w:rPr>
          <w:color w:val="5B9BD5"/>
        </w:rPr>
        <w:t>Introduci</w:t>
      </w:r>
      <w:r w:rsidR="00E74303">
        <w:rPr>
          <w:color w:val="5B9BD5"/>
        </w:rPr>
        <w:t>ó</w:t>
      </w:r>
      <w:r>
        <w:rPr>
          <w:color w:val="5B9BD5"/>
        </w:rPr>
        <w:t>n</w:t>
      </w:r>
      <w:bookmarkEnd w:id="1"/>
    </w:p>
    <w:p w14:paraId="698DDCE1" w14:textId="1D694697" w:rsidR="008F48AA" w:rsidRDefault="00B97308" w:rsidP="00B97308">
      <w:r>
        <w:t xml:space="preserve">En </w:t>
      </w:r>
      <w:r w:rsidRPr="00B97308">
        <w:t xml:space="preserve">esta práctica, vamos a explorar cómo la computación paralela puede hacer que las fábricas y el procesamiento de datos sean más eficientes. </w:t>
      </w:r>
      <w:r>
        <w:t>Trataremos</w:t>
      </w:r>
      <w:r w:rsidRPr="00B97308">
        <w:t xml:space="preserve"> de dividir el trabajo en partes más pequeñas para hacerlo más rápido.</w:t>
      </w:r>
    </w:p>
    <w:p w14:paraId="428E967A" w14:textId="47609AD9" w:rsidR="00B97308" w:rsidRDefault="00B97308" w:rsidP="00B97308">
      <w:r w:rsidRPr="00B97308">
        <w:t xml:space="preserve">Primero, vamos a ver dos reglas importantes: la Ley de Amdahl y la Ley de Gustafson. Estas reglas nos ayudan a entender cuánto más rápido podemos hacer las cosas si usamos más </w:t>
      </w:r>
      <w:r>
        <w:t>nucleos</w:t>
      </w:r>
      <w:r w:rsidRPr="00B97308">
        <w:t xml:space="preserve"> al mismo tiempo. Haremos algunos cálculos para ver cuál de estas reglas es más útil en diferentes situaciones.</w:t>
      </w:r>
    </w:p>
    <w:p w14:paraId="77185F90" w14:textId="0C14D20F" w:rsidR="00B97308" w:rsidRDefault="00B97308" w:rsidP="00B97308">
      <w:r>
        <w:t>A</w:t>
      </w:r>
      <w:r w:rsidRPr="00B97308">
        <w:t xml:space="preserve">plicaremos estas ideas a un ejemplo real: mejorar cómo se fabrican las baterías en una fábrica de </w:t>
      </w:r>
      <w:r>
        <w:t>coches</w:t>
      </w:r>
      <w:r w:rsidRPr="00B97308">
        <w:t xml:space="preserve"> eléctricos. Veremos qué tareas se pueden hacer al mismo tiempo, cómo organizar mejor el trabajo y qué problemas podrían aparecer, como coordinar varias máquinas sin que haya errores.</w:t>
      </w:r>
    </w:p>
    <w:p w14:paraId="096F40C7" w14:textId="343D1B9F" w:rsidR="00B97308" w:rsidRDefault="00B97308" w:rsidP="00B97308">
      <w:r>
        <w:br w:type="page"/>
      </w:r>
    </w:p>
    <w:p w14:paraId="39B45B0F" w14:textId="657B4B7E" w:rsidR="009F4500" w:rsidRDefault="003C09B2" w:rsidP="009F4500">
      <w:pPr>
        <w:pStyle w:val="Heading2"/>
        <w:numPr>
          <w:ilvl w:val="0"/>
          <w:numId w:val="8"/>
        </w:numPr>
        <w:tabs>
          <w:tab w:val="num" w:pos="360"/>
          <w:tab w:val="num" w:pos="432"/>
        </w:tabs>
        <w:spacing w:before="203"/>
        <w:ind w:left="0" w:firstLine="0"/>
        <w:rPr>
          <w:color w:val="5B9BD5"/>
        </w:rPr>
      </w:pPr>
      <w:bookmarkStart w:id="2" w:name="_Toc189919337"/>
      <w:r>
        <w:rPr>
          <w:color w:val="5B9BD5"/>
        </w:rPr>
        <w:lastRenderedPageBreak/>
        <w:t>Ejercicio 1 (</w:t>
      </w:r>
      <w:r w:rsidRPr="003C09B2">
        <w:rPr>
          <w:color w:val="5B9BD5"/>
        </w:rPr>
        <w:t>COMPARACIÓN DE LEY DE AMDAHL Y LEY DE GUSTAFSON</w:t>
      </w:r>
      <w:r>
        <w:rPr>
          <w:color w:val="5B9BD5"/>
        </w:rPr>
        <w:t>)</w:t>
      </w:r>
      <w:bookmarkEnd w:id="2"/>
    </w:p>
    <w:p w14:paraId="38E0EBC6" w14:textId="77777777" w:rsidR="00B70ABB" w:rsidRPr="00B70ABB" w:rsidRDefault="00B70ABB" w:rsidP="00B70ABB"/>
    <w:p w14:paraId="203A409A" w14:textId="6FDEE8C2"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La aceleración teórica según la Ley de Amdahl se calcula con la fórmula:</w:t>
      </w:r>
    </w:p>
    <w:p w14:paraId="7E7C121F" w14:textId="12EC037B" w:rsidR="003C09B2" w:rsidRPr="00B70ABB" w:rsidRDefault="00B70ABB" w:rsidP="00F8678E">
      <w:pPr>
        <w:spacing w:after="0"/>
        <w:rPr>
          <w:rFonts w:ascii="Times New Roman" w:eastAsiaTheme="minorEastAsia" w:hAnsi="Times New Roman" w:cs="Times New Roman"/>
          <w:b/>
          <w:bCs/>
          <w:color w:val="374151"/>
          <w:sz w:val="21"/>
          <w:szCs w:val="21"/>
        </w:rPr>
      </w:pPr>
      <m:oMathPara>
        <m:oMathParaPr>
          <m:jc m:val="left"/>
        </m:oMathParaPr>
        <m:oMath>
          <m:r>
            <m:rPr>
              <m:sty m:val="b"/>
            </m:rPr>
            <w:rPr>
              <w:rFonts w:ascii="Cambria Math" w:hAnsi="Cambria Math" w:cs="Segoe UI"/>
              <w:color w:val="374151"/>
              <w:sz w:val="21"/>
              <w:szCs w:val="21"/>
            </w:rPr>
            <m:t>S</m:t>
          </m:r>
          <m:d>
            <m:dPr>
              <m:ctrlPr>
                <w:rPr>
                  <w:rFonts w:ascii="Cambria Math" w:hAnsi="Cambria Math" w:cs="Segoe UI"/>
                  <w:b/>
                  <w:bCs/>
                  <w:color w:val="374151"/>
                  <w:sz w:val="21"/>
                  <w:szCs w:val="21"/>
                </w:rPr>
              </m:ctrlPr>
            </m:dPr>
            <m:e>
              <m:r>
                <m:rPr>
                  <m:sty m:val="b"/>
                </m:rPr>
                <w:rPr>
                  <w:rFonts w:ascii="Cambria Math" w:hAnsi="Cambria Math" w:cs="Segoe UI"/>
                  <w:color w:val="374151"/>
                  <w:sz w:val="21"/>
                  <w:szCs w:val="21"/>
                </w:rPr>
                <m:t>N</m:t>
              </m:r>
            </m:e>
          </m:d>
          <m:r>
            <m:rPr>
              <m:sty m:val="b"/>
            </m:rPr>
            <w:rPr>
              <w:rFonts w:ascii="Cambria Math" w:hAnsi="Cambria Math" w:cs="Segoe UI"/>
              <w:color w:val="374151"/>
              <w:sz w:val="21"/>
              <w:szCs w:val="21"/>
            </w:rPr>
            <m:t>=</m:t>
          </m:r>
          <m:f>
            <m:fPr>
              <m:ctrlPr>
                <w:rPr>
                  <w:rFonts w:ascii="Cambria Math" w:hAnsi="Cambria Math" w:cs="Segoe UI"/>
                  <w:b/>
                  <w:bCs/>
                  <w:color w:val="374151"/>
                  <w:sz w:val="21"/>
                  <w:szCs w:val="21"/>
                </w:rPr>
              </m:ctrlPr>
            </m:fPr>
            <m:num>
              <m:r>
                <m:rPr>
                  <m:sty m:val="bi"/>
                </m:rPr>
                <w:rPr>
                  <w:rFonts w:ascii="Cambria Math" w:hAnsi="Cambria Math" w:cs="Segoe UI"/>
                  <w:color w:val="374151"/>
                  <w:sz w:val="21"/>
                  <w:szCs w:val="21"/>
                </w:rPr>
                <m:t>1</m:t>
              </m:r>
            </m:num>
            <m:den>
              <m:d>
                <m:dPr>
                  <m:ctrlPr>
                    <w:rPr>
                      <w:rFonts w:ascii="Cambria Math" w:hAnsi="Cambria Math" w:cs="Segoe UI"/>
                      <w:b/>
                      <w:bCs/>
                      <w:i/>
                      <w:color w:val="374151"/>
                      <w:sz w:val="21"/>
                      <w:szCs w:val="21"/>
                    </w:rPr>
                  </m:ctrlPr>
                </m:dPr>
                <m:e>
                  <m:r>
                    <m:rPr>
                      <m:sty m:val="bi"/>
                    </m:rPr>
                    <w:rPr>
                      <w:rFonts w:ascii="Cambria Math" w:hAnsi="Cambria Math" w:cs="Segoe UI"/>
                      <w:color w:val="374151"/>
                      <w:sz w:val="21"/>
                      <w:szCs w:val="21"/>
                    </w:rPr>
                    <m:t>1-P</m:t>
                  </m:r>
                </m:e>
              </m:d>
              <m:r>
                <m:rPr>
                  <m:sty m:val="bi"/>
                </m:rPr>
                <w:rPr>
                  <w:rFonts w:ascii="Cambria Math" w:hAnsi="Cambria Math" w:cs="Segoe UI"/>
                  <w:color w:val="374151"/>
                  <w:sz w:val="21"/>
                  <w:szCs w:val="21"/>
                </w:rPr>
                <m:t>+</m:t>
              </m:r>
              <m:f>
                <m:fPr>
                  <m:ctrlPr>
                    <w:rPr>
                      <w:rFonts w:ascii="Cambria Math" w:hAnsi="Cambria Math" w:cs="Segoe UI"/>
                      <w:b/>
                      <w:bCs/>
                      <w:i/>
                      <w:color w:val="374151"/>
                      <w:sz w:val="21"/>
                      <w:szCs w:val="21"/>
                    </w:rPr>
                  </m:ctrlPr>
                </m:fPr>
                <m:num>
                  <m:r>
                    <m:rPr>
                      <m:sty m:val="bi"/>
                    </m:rPr>
                    <w:rPr>
                      <w:rFonts w:ascii="Cambria Math" w:hAnsi="Cambria Math" w:cs="Segoe UI"/>
                      <w:color w:val="374151"/>
                      <w:sz w:val="21"/>
                      <w:szCs w:val="21"/>
                    </w:rPr>
                    <m:t>P</m:t>
                  </m:r>
                </m:num>
                <m:den>
                  <m:r>
                    <m:rPr>
                      <m:sty m:val="bi"/>
                    </m:rPr>
                    <w:rPr>
                      <w:rFonts w:ascii="Cambria Math" w:hAnsi="Cambria Math" w:cs="Segoe UI"/>
                      <w:color w:val="374151"/>
                      <w:sz w:val="21"/>
                      <w:szCs w:val="21"/>
                    </w:rPr>
                    <m:t>N</m:t>
                  </m:r>
                </m:den>
              </m:f>
            </m:den>
          </m:f>
          <m:r>
            <m:rPr>
              <m:sty m:val="b"/>
            </m:rPr>
            <w:rPr>
              <w:rFonts w:ascii="Cambria Math" w:hAnsi="Cambria Math" w:cs="Segoe UI"/>
              <w:color w:val="374151"/>
              <w:sz w:val="21"/>
              <w:szCs w:val="21"/>
            </w:rPr>
            <m:t xml:space="preserve"> </m:t>
          </m:r>
        </m:oMath>
      </m:oMathPara>
    </w:p>
    <w:p w14:paraId="23D0CC22" w14:textId="77777777" w:rsidR="003C09B2" w:rsidRPr="003C09B2" w:rsidRDefault="003C09B2" w:rsidP="00F8678E">
      <w:pPr>
        <w:spacing w:after="0"/>
        <w:rPr>
          <w:rFonts w:ascii="Times New Roman" w:hAnsi="Times New Roman" w:cs="Times New Roman"/>
          <w:color w:val="auto"/>
          <w:sz w:val="24"/>
          <w:szCs w:val="24"/>
          <w:lang w:eastAsia="es-ES"/>
        </w:rPr>
      </w:pPr>
    </w:p>
    <w:p w14:paraId="1C3401E8"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Donde:</w:t>
      </w:r>
    </w:p>
    <w:p w14:paraId="1239D4AF" w14:textId="2005E4BB" w:rsidR="003C09B2" w:rsidRPr="00B70ABB" w:rsidRDefault="003C09B2" w:rsidP="00F8678E">
      <w:pPr>
        <w:spacing w:after="0"/>
        <w:rPr>
          <w:rFonts w:ascii="Times New Roman" w:hAnsi="Times New Roman" w:cs="Times New Roman"/>
          <w:color w:val="auto"/>
          <w:sz w:val="24"/>
          <w:szCs w:val="24"/>
          <w:lang w:eastAsia="es-ES"/>
        </w:rPr>
      </w:pPr>
      <w:r w:rsidRPr="008C0743">
        <w:rPr>
          <w:rFonts w:ascii="Times New Roman" w:hAnsi="Times New Roman" w:cs="Times New Roman"/>
          <w:b/>
          <w:bCs/>
          <w:color w:val="auto"/>
          <w:sz w:val="24"/>
          <w:szCs w:val="24"/>
          <w:lang w:eastAsia="es-ES"/>
        </w:rPr>
        <w:t xml:space="preserve">- P = 0.7 </w:t>
      </w:r>
      <w:r w:rsidRPr="00B70ABB">
        <w:rPr>
          <w:rFonts w:ascii="Times New Roman" w:hAnsi="Times New Roman" w:cs="Times New Roman"/>
          <w:color w:val="auto"/>
          <w:sz w:val="24"/>
          <w:szCs w:val="24"/>
          <w:lang w:eastAsia="es-ES"/>
        </w:rPr>
        <w:t>(fracción paralelizable del código)</w:t>
      </w:r>
    </w:p>
    <w:p w14:paraId="6FC7694D" w14:textId="542E1B3C" w:rsidR="003C09B2" w:rsidRPr="008C0743" w:rsidRDefault="003C09B2" w:rsidP="00F8678E">
      <w:pPr>
        <w:spacing w:after="0"/>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 xml:space="preserve">- N = 16  </w:t>
      </w:r>
      <w:r w:rsidRPr="00B70ABB">
        <w:rPr>
          <w:rFonts w:ascii="Times New Roman" w:hAnsi="Times New Roman" w:cs="Times New Roman"/>
          <w:color w:val="auto"/>
          <w:sz w:val="24"/>
          <w:szCs w:val="24"/>
          <w:lang w:eastAsia="es-ES"/>
        </w:rPr>
        <w:t>(número de procesadores)</w:t>
      </w:r>
    </w:p>
    <w:p w14:paraId="501FA330"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Sustituyendo los valores:</w:t>
      </w:r>
    </w:p>
    <w:p w14:paraId="13A33402" w14:textId="0463CADA" w:rsidR="003C09B2" w:rsidRPr="008C0743" w:rsidRDefault="008C0743" w:rsidP="00F8678E">
      <w:pPr>
        <w:spacing w:after="0"/>
        <w:rPr>
          <w:rFonts w:ascii="Times New Roman" w:eastAsiaTheme="minorEastAsia" w:hAnsi="Times New Roman" w:cs="Times New Roman"/>
          <w:b/>
          <w:bCs/>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16</m:t>
              </m:r>
            </m:e>
          </m:d>
          <m:r>
            <m:rPr>
              <m:sty m:val="bi"/>
            </m:rPr>
            <w:rPr>
              <w:rFonts w:ascii="Cambria Math" w:hAnsi="Cambria Math" w:cs="Times New Roman"/>
              <w:color w:val="auto"/>
              <w:sz w:val="24"/>
              <w:szCs w:val="24"/>
              <w:lang w:eastAsia="es-ES"/>
            </w:rPr>
            <m:t>≈2.91</m:t>
          </m:r>
        </m:oMath>
      </m:oMathPara>
    </w:p>
    <w:p w14:paraId="17881D40" w14:textId="77777777" w:rsidR="008C0743" w:rsidRPr="008C0743" w:rsidRDefault="008C0743" w:rsidP="00F8678E">
      <w:pPr>
        <w:spacing w:after="0"/>
        <w:rPr>
          <w:rFonts w:ascii="Times New Roman" w:hAnsi="Times New Roman" w:cs="Times New Roman"/>
          <w:b/>
          <w:bCs/>
          <w:color w:val="auto"/>
          <w:sz w:val="24"/>
          <w:szCs w:val="24"/>
          <w:lang w:eastAsia="es-ES"/>
        </w:rPr>
      </w:pPr>
    </w:p>
    <w:p w14:paraId="32FAA70E" w14:textId="51CDFF5C" w:rsidR="008C0743" w:rsidRPr="003C09B2" w:rsidRDefault="008C0743"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La aceleración según la Ley de Gustafson se calcula con la fórmula:</w:t>
      </w:r>
    </w:p>
    <w:p w14:paraId="5AEFDEF7" w14:textId="041BA581" w:rsidR="008C0743" w:rsidRPr="00F8678E" w:rsidRDefault="008C0743" w:rsidP="00F8678E">
      <w:pPr>
        <w:spacing w:after="0"/>
        <w:rPr>
          <w:rFonts w:ascii="Times New Roman" w:eastAsiaTheme="minorEastAsia" w:hAnsi="Times New Roman" w:cs="Times New Roman"/>
          <w:b/>
          <w:bCs/>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N</m:t>
              </m:r>
            </m:e>
          </m:d>
          <m:r>
            <m:rPr>
              <m:sty m:val="bi"/>
            </m:rPr>
            <w:rPr>
              <w:rFonts w:ascii="Cambria Math" w:hAnsi="Cambria Math" w:cs="Times New Roman"/>
              <w:color w:val="auto"/>
              <w:sz w:val="24"/>
              <w:szCs w:val="24"/>
              <w:lang w:eastAsia="es-ES"/>
            </w:rPr>
            <m:t xml:space="preserve">=N-α(N-1) </m:t>
          </m:r>
        </m:oMath>
      </m:oMathPara>
    </w:p>
    <w:p w14:paraId="0D729B91"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Donde:</w:t>
      </w:r>
    </w:p>
    <w:p w14:paraId="00C6CA1E" w14:textId="059663B1" w:rsidR="003C09B2" w:rsidRPr="008C0743" w:rsidRDefault="003C09B2" w:rsidP="00F8678E">
      <w:pPr>
        <w:spacing w:after="0"/>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w:t>
      </w:r>
      <w:r w:rsidR="008C0743" w:rsidRPr="008C0743">
        <w:rPr>
          <w:rFonts w:ascii="Cambria Math" w:hAnsi="Cambria Math" w:cs="Times New Roman"/>
          <w:b/>
          <w:bCs/>
          <w:i/>
          <w:color w:val="auto"/>
          <w:sz w:val="24"/>
          <w:szCs w:val="24"/>
          <w:lang w:eastAsia="es-ES"/>
        </w:rPr>
        <w:t xml:space="preserve"> </w:t>
      </w:r>
      <m:oMath>
        <m:r>
          <m:rPr>
            <m:sty m:val="bi"/>
          </m:rPr>
          <w:rPr>
            <w:rFonts w:ascii="Cambria Math" w:hAnsi="Cambria Math" w:cs="Times New Roman"/>
            <w:color w:val="auto"/>
            <w:sz w:val="24"/>
            <w:szCs w:val="24"/>
            <w:lang w:eastAsia="es-ES"/>
          </w:rPr>
          <m:t>α</m:t>
        </m:r>
      </m:oMath>
      <w:r w:rsidR="008C0743" w:rsidRPr="008C0743">
        <w:rPr>
          <w:rFonts w:ascii="Times New Roman" w:hAnsi="Times New Roman" w:cs="Times New Roman"/>
          <w:b/>
          <w:bCs/>
          <w:color w:val="auto"/>
          <w:sz w:val="24"/>
          <w:szCs w:val="24"/>
          <w:lang w:eastAsia="es-ES"/>
        </w:rPr>
        <w:t xml:space="preserve"> </w:t>
      </w:r>
      <w:r w:rsidRPr="008C0743">
        <w:rPr>
          <w:rFonts w:ascii="Times New Roman" w:hAnsi="Times New Roman" w:cs="Times New Roman"/>
          <w:b/>
          <w:bCs/>
          <w:color w:val="auto"/>
          <w:sz w:val="24"/>
          <w:szCs w:val="24"/>
          <w:lang w:eastAsia="es-ES"/>
        </w:rPr>
        <w:t>= 0.3  (fracción secuencial del código)</w:t>
      </w:r>
    </w:p>
    <w:p w14:paraId="65449C77" w14:textId="7D37791C" w:rsidR="003C09B2" w:rsidRPr="008C0743" w:rsidRDefault="003C09B2" w:rsidP="00F8678E">
      <w:pPr>
        <w:spacing w:after="0"/>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 N = 16 (número de procesadores)</w:t>
      </w:r>
    </w:p>
    <w:p w14:paraId="14336A95" w14:textId="77777777" w:rsidR="003C09B2" w:rsidRPr="003C09B2" w:rsidRDefault="003C09B2" w:rsidP="003C09B2">
      <w:pPr>
        <w:rPr>
          <w:rFonts w:ascii="Times New Roman" w:hAnsi="Times New Roman" w:cs="Times New Roman"/>
          <w:color w:val="auto"/>
          <w:sz w:val="24"/>
          <w:szCs w:val="24"/>
          <w:lang w:eastAsia="es-ES"/>
        </w:rPr>
      </w:pPr>
    </w:p>
    <w:p w14:paraId="138CA3E8"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Sustituyendo los valores:</w:t>
      </w:r>
    </w:p>
    <w:p w14:paraId="5214E9A9" w14:textId="13659DCA" w:rsidR="00F8678E" w:rsidRPr="00B97308" w:rsidRDefault="00B70ABB" w:rsidP="00F8678E">
      <w:pPr>
        <w:spacing w:after="0"/>
        <w:rPr>
          <w:rFonts w:ascii="Times New Roman" w:eastAsiaTheme="minorEastAsia" w:hAnsi="Times New Roman" w:cs="Times New Roman"/>
          <w:b/>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16</m:t>
              </m:r>
            </m:e>
          </m:d>
          <m:r>
            <m:rPr>
              <m:sty m:val="bi"/>
            </m:rPr>
            <w:rPr>
              <w:rFonts w:ascii="Cambria Math" w:hAnsi="Cambria Math" w:cs="Times New Roman"/>
              <w:color w:val="auto"/>
              <w:sz w:val="24"/>
              <w:szCs w:val="24"/>
              <w:lang w:eastAsia="es-ES"/>
            </w:rPr>
            <m:t>=11.5</m:t>
          </m:r>
        </m:oMath>
      </m:oMathPara>
    </w:p>
    <w:p w14:paraId="45F9942A" w14:textId="77777777" w:rsidR="00B97308" w:rsidRPr="00F8678E" w:rsidRDefault="00B97308" w:rsidP="00F8678E">
      <w:pPr>
        <w:spacing w:after="0"/>
        <w:rPr>
          <w:rFonts w:ascii="Times New Roman" w:eastAsiaTheme="minorEastAsia" w:hAnsi="Times New Roman" w:cs="Times New Roman"/>
          <w:b/>
          <w:color w:val="auto"/>
          <w:sz w:val="24"/>
          <w:szCs w:val="24"/>
          <w:lang w:eastAsia="es-ES"/>
        </w:rPr>
      </w:pPr>
    </w:p>
    <w:p w14:paraId="5DEC6421" w14:textId="4F2E81D0" w:rsidR="003C09B2" w:rsidRPr="00F8678E" w:rsidRDefault="00B97308" w:rsidP="00B97308">
      <w:pPr>
        <w:rPr>
          <w:rFonts w:ascii="Times New Roman" w:hAnsi="Times New Roman" w:cs="Times New Roman"/>
          <w:b/>
          <w:bCs/>
          <w:color w:val="auto"/>
          <w:sz w:val="24"/>
          <w:szCs w:val="24"/>
          <w:lang w:eastAsia="es-ES"/>
        </w:rPr>
      </w:pPr>
      <w:r>
        <w:rPr>
          <w:rFonts w:ascii="Times New Roman" w:eastAsiaTheme="minorEastAsia" w:hAnsi="Times New Roman" w:cs="Times New Roman"/>
          <w:b/>
          <w:color w:val="auto"/>
          <w:sz w:val="24"/>
          <w:szCs w:val="24"/>
          <w:lang w:eastAsia="es-ES"/>
        </w:rPr>
        <w:t>C</w:t>
      </w:r>
      <w:r w:rsidR="003C09B2" w:rsidRPr="00F8678E">
        <w:rPr>
          <w:rFonts w:ascii="Times New Roman" w:hAnsi="Times New Roman" w:cs="Times New Roman"/>
          <w:b/>
          <w:bCs/>
          <w:color w:val="auto"/>
          <w:sz w:val="24"/>
          <w:szCs w:val="24"/>
          <w:lang w:eastAsia="es-ES"/>
        </w:rPr>
        <w:t>omparación y conclusiones</w:t>
      </w:r>
    </w:p>
    <w:p w14:paraId="76B7E83A" w14:textId="650BB206"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Los resultados muestran que la Ley de Amdahl es más restrictiva, limitando la aceleración máxima debido a la parte secuencial del código. En cambio, la Ley de Gustafson permite mayor escalabilidad cuando el tamaño del problema aumenta. Para aplicaciones donde el problema puede crecer, la Ley de Gustafson es más favorable.</w:t>
      </w:r>
    </w:p>
    <w:p w14:paraId="520E72DA" w14:textId="0CECFD68" w:rsidR="009D45F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 xml:space="preserve">Para mejorar la eficiencia del programa, </w:t>
      </w:r>
      <w:r w:rsidR="00F8678E">
        <w:rPr>
          <w:rFonts w:ascii="Times New Roman" w:hAnsi="Times New Roman" w:cs="Times New Roman"/>
          <w:color w:val="auto"/>
          <w:sz w:val="24"/>
          <w:szCs w:val="24"/>
          <w:lang w:eastAsia="es-ES"/>
        </w:rPr>
        <w:t>se debería de</w:t>
      </w:r>
      <w:r w:rsidRPr="003C09B2">
        <w:rPr>
          <w:rFonts w:ascii="Times New Roman" w:hAnsi="Times New Roman" w:cs="Times New Roman"/>
          <w:color w:val="auto"/>
          <w:sz w:val="24"/>
          <w:szCs w:val="24"/>
          <w:lang w:eastAsia="es-ES"/>
        </w:rPr>
        <w:t xml:space="preserve"> reducir la fracción secuencial del código optimiza</w:t>
      </w:r>
      <w:r w:rsidR="00F8678E">
        <w:rPr>
          <w:rFonts w:ascii="Times New Roman" w:hAnsi="Times New Roman" w:cs="Times New Roman"/>
          <w:color w:val="auto"/>
          <w:sz w:val="24"/>
          <w:szCs w:val="24"/>
          <w:lang w:eastAsia="es-ES"/>
        </w:rPr>
        <w:t>ndo</w:t>
      </w:r>
      <w:r w:rsidRPr="003C09B2">
        <w:rPr>
          <w:rFonts w:ascii="Times New Roman" w:hAnsi="Times New Roman" w:cs="Times New Roman"/>
          <w:color w:val="auto"/>
          <w:sz w:val="24"/>
          <w:szCs w:val="24"/>
          <w:lang w:eastAsia="es-ES"/>
        </w:rPr>
        <w:t xml:space="preserve"> algoritmos</w:t>
      </w:r>
      <w:r w:rsidR="00F8678E">
        <w:rPr>
          <w:rFonts w:ascii="Times New Roman" w:hAnsi="Times New Roman" w:cs="Times New Roman"/>
          <w:color w:val="auto"/>
          <w:sz w:val="24"/>
          <w:szCs w:val="24"/>
          <w:lang w:eastAsia="es-ES"/>
        </w:rPr>
        <w:t xml:space="preserve"> para asi aumentar la aceleracion del problema.</w:t>
      </w:r>
    </w:p>
    <w:p w14:paraId="2F87A124" w14:textId="7F3735E6" w:rsidR="00F8678E" w:rsidRDefault="00F8678E" w:rsidP="00F8678E">
      <w:pPr>
        <w:pStyle w:val="Heading2"/>
        <w:numPr>
          <w:ilvl w:val="0"/>
          <w:numId w:val="8"/>
        </w:numPr>
        <w:tabs>
          <w:tab w:val="num" w:pos="360"/>
          <w:tab w:val="num" w:pos="432"/>
        </w:tabs>
        <w:spacing w:before="203"/>
        <w:ind w:left="0" w:firstLine="0"/>
        <w:rPr>
          <w:color w:val="5B9BD5"/>
        </w:rPr>
      </w:pPr>
      <w:bookmarkStart w:id="3" w:name="_Toc189919338"/>
      <w:r>
        <w:rPr>
          <w:color w:val="5B9BD5"/>
        </w:rPr>
        <w:lastRenderedPageBreak/>
        <w:t>Ejercicio 2 (OPTIMIZACIÓN DE UN PROCESO INDUSTRIAL MEDIANTE PARALELIZACIÓN)</w:t>
      </w:r>
      <w:bookmarkEnd w:id="3"/>
    </w:p>
    <w:p w14:paraId="70163456" w14:textId="6FCCD413" w:rsidR="00610D87" w:rsidRPr="00610D87" w:rsidRDefault="00610D87" w:rsidP="00610D87">
      <w:pPr>
        <w:rPr>
          <w:rFonts w:ascii="Times New Roman" w:hAnsi="Times New Roman" w:cs="Times New Roman"/>
          <w:color w:val="auto"/>
          <w:sz w:val="24"/>
          <w:szCs w:val="24"/>
          <w:lang w:eastAsia="es-ES"/>
        </w:rPr>
      </w:pPr>
      <w:r w:rsidRPr="00610D87">
        <w:rPr>
          <w:rFonts w:ascii="Times New Roman" w:hAnsi="Times New Roman" w:cs="Times New Roman"/>
          <w:color w:val="auto"/>
          <w:sz w:val="24"/>
          <w:szCs w:val="24"/>
          <w:lang w:eastAsia="es-ES"/>
        </w:rPr>
        <w:t xml:space="preserve">El ensamblaje de baterías en la fábrica de automóviles eléctricos </w:t>
      </w:r>
      <w:r w:rsidR="008F48AA">
        <w:rPr>
          <w:rFonts w:ascii="Times New Roman" w:hAnsi="Times New Roman" w:cs="Times New Roman"/>
          <w:color w:val="auto"/>
          <w:sz w:val="24"/>
          <w:szCs w:val="24"/>
          <w:lang w:eastAsia="es-ES"/>
        </w:rPr>
        <w:t>en el escenario descrito</w:t>
      </w:r>
      <w:r w:rsidRPr="00610D87">
        <w:rPr>
          <w:rFonts w:ascii="Times New Roman" w:hAnsi="Times New Roman" w:cs="Times New Roman"/>
          <w:color w:val="auto"/>
          <w:sz w:val="24"/>
          <w:szCs w:val="24"/>
          <w:lang w:eastAsia="es-ES"/>
        </w:rPr>
        <w:t xml:space="preserve"> sigue un proceso secuencial, </w:t>
      </w:r>
      <w:r>
        <w:rPr>
          <w:rFonts w:ascii="Times New Roman" w:hAnsi="Times New Roman" w:cs="Times New Roman"/>
          <w:color w:val="auto"/>
          <w:sz w:val="24"/>
          <w:szCs w:val="24"/>
          <w:lang w:eastAsia="es-ES"/>
        </w:rPr>
        <w:t>esto</w:t>
      </w:r>
      <w:r w:rsidRPr="00610D87">
        <w:rPr>
          <w:rFonts w:ascii="Times New Roman" w:hAnsi="Times New Roman" w:cs="Times New Roman"/>
          <w:color w:val="auto"/>
          <w:sz w:val="24"/>
          <w:szCs w:val="24"/>
          <w:lang w:eastAsia="es-ES"/>
        </w:rPr>
        <w:t xml:space="preserve"> genera retrasos en la producción. Para optimizarlo, </w:t>
      </w:r>
      <w:r w:rsidR="008F48AA">
        <w:rPr>
          <w:rFonts w:ascii="Times New Roman" w:hAnsi="Times New Roman" w:cs="Times New Roman"/>
          <w:color w:val="auto"/>
          <w:sz w:val="24"/>
          <w:szCs w:val="24"/>
          <w:lang w:eastAsia="es-ES"/>
        </w:rPr>
        <w:t>deberíamos</w:t>
      </w:r>
      <w:r w:rsidRPr="00610D87">
        <w:rPr>
          <w:rFonts w:ascii="Times New Roman" w:hAnsi="Times New Roman" w:cs="Times New Roman"/>
          <w:color w:val="auto"/>
          <w:sz w:val="24"/>
          <w:szCs w:val="24"/>
          <w:lang w:eastAsia="es-ES"/>
        </w:rPr>
        <w:t xml:space="preserve"> implementar paralelización en diferentes etapas. Por ejemplo, mientras unas celdas de batería se ensamblan, otras pueden ser verificadas simultáneamente por robots de inspección. Además, el ensamblaje de las celdas en módulos puede dividirse en varias estaciones de trabajo que operen en paralelo. De la misma manera, la inspección final y las pruebas de carga pueden realizarse en múltiples estaciones al mismo tiempo para reducir tiempos de espera.</w:t>
      </w:r>
    </w:p>
    <w:p w14:paraId="7C499ABF" w14:textId="5527EDC3" w:rsidR="00610D87" w:rsidRPr="00610D87" w:rsidRDefault="00610D87" w:rsidP="00610D87">
      <w:pPr>
        <w:rPr>
          <w:rFonts w:ascii="Times New Roman" w:hAnsi="Times New Roman" w:cs="Times New Roman"/>
          <w:color w:val="auto"/>
          <w:sz w:val="24"/>
          <w:szCs w:val="24"/>
          <w:lang w:eastAsia="es-ES"/>
        </w:rPr>
      </w:pPr>
      <w:r w:rsidRPr="00610D87">
        <w:rPr>
          <w:rFonts w:ascii="Times New Roman" w:hAnsi="Times New Roman" w:cs="Times New Roman"/>
          <w:color w:val="auto"/>
          <w:sz w:val="24"/>
          <w:szCs w:val="24"/>
          <w:lang w:eastAsia="es-ES"/>
        </w:rPr>
        <w:t xml:space="preserve">El modelo de paralelismo más adecuado en este caso es el paralelismo a nivel de tareas, permitiendo que diferentes grupos de robots o estaciones realicen tareas independientes sin esperar la finalización de otras etapas. En particular, la verificación de calidad puede distribuirse entre varios robots o sensores que inspeccionen diferentes partes de una batería </w:t>
      </w:r>
      <w:r>
        <w:rPr>
          <w:rFonts w:ascii="Times New Roman" w:hAnsi="Times New Roman" w:cs="Times New Roman"/>
          <w:color w:val="auto"/>
          <w:sz w:val="24"/>
          <w:szCs w:val="24"/>
          <w:lang w:eastAsia="es-ES"/>
        </w:rPr>
        <w:t>a la vez</w:t>
      </w:r>
      <w:r w:rsidRPr="00610D87">
        <w:rPr>
          <w:rFonts w:ascii="Times New Roman" w:hAnsi="Times New Roman" w:cs="Times New Roman"/>
          <w:color w:val="auto"/>
          <w:sz w:val="24"/>
          <w:szCs w:val="24"/>
          <w:lang w:eastAsia="es-ES"/>
        </w:rPr>
        <w:t>, reduciendo tiempos de espera y mejorando la eficiencia.</w:t>
      </w:r>
    </w:p>
    <w:p w14:paraId="4160F482" w14:textId="0F7C9F52" w:rsidR="00F8678E" w:rsidRPr="00610D87" w:rsidRDefault="00610D87" w:rsidP="00F8678E">
      <w:pPr>
        <w:rPr>
          <w:rFonts w:ascii="Times New Roman" w:hAnsi="Times New Roman" w:cs="Times New Roman"/>
          <w:color w:val="auto"/>
          <w:sz w:val="24"/>
          <w:szCs w:val="24"/>
          <w:lang w:eastAsia="es-ES"/>
        </w:rPr>
      </w:pPr>
      <w:r w:rsidRPr="00610D87">
        <w:rPr>
          <w:rFonts w:ascii="Times New Roman" w:hAnsi="Times New Roman" w:cs="Times New Roman"/>
          <w:color w:val="auto"/>
          <w:sz w:val="24"/>
          <w:szCs w:val="24"/>
          <w:lang w:eastAsia="es-ES"/>
        </w:rPr>
        <w:t>Aplicando la Ley de Amdahl para calcular la aceleración teórica del proceso, donde el 60% del proceso es paralelizable (P = 0.6) y se utilizan 8 robots (N = 8), la aceleración esperada es</w:t>
      </w:r>
      <w:r>
        <w:rPr>
          <w:rFonts w:ascii="Times New Roman" w:hAnsi="Times New Roman" w:cs="Times New Roman"/>
          <w:color w:val="auto"/>
          <w:sz w:val="24"/>
          <w:szCs w:val="24"/>
          <w:lang w:eastAsia="es-ES"/>
        </w:rPr>
        <w:t xml:space="preserve"> de</w:t>
      </w:r>
      <w:r w:rsidRPr="00610D87">
        <w:rPr>
          <w:rFonts w:ascii="Times New Roman" w:hAnsi="Times New Roman" w:cs="Times New Roman"/>
          <w:color w:val="auto"/>
          <w:sz w:val="24"/>
          <w:szCs w:val="24"/>
          <w:lang w:eastAsia="es-ES"/>
        </w:rPr>
        <w:t>:</w:t>
      </w:r>
    </w:p>
    <w:p w14:paraId="1FBC8340" w14:textId="0DA4ADC9" w:rsidR="00610D87" w:rsidRPr="00610D87" w:rsidRDefault="00610D87" w:rsidP="00610D87">
      <w:pPr>
        <w:spacing w:after="0"/>
        <w:rPr>
          <w:rFonts w:ascii="Times New Roman" w:eastAsiaTheme="minorEastAsia" w:hAnsi="Times New Roman" w:cs="Times New Roman"/>
          <w:b/>
          <w:color w:val="374151"/>
          <w:sz w:val="21"/>
          <w:szCs w:val="21"/>
        </w:rPr>
      </w:pPr>
      <m:oMathPara>
        <m:oMathParaPr>
          <m:jc m:val="left"/>
        </m:oMathParaPr>
        <m:oMath>
          <m:r>
            <m:rPr>
              <m:sty m:val="b"/>
            </m:rPr>
            <w:rPr>
              <w:rFonts w:ascii="Cambria Math" w:hAnsi="Cambria Math" w:cs="Segoe UI"/>
              <w:color w:val="374151"/>
              <w:sz w:val="21"/>
              <w:szCs w:val="21"/>
            </w:rPr>
            <m:t>S</m:t>
          </m:r>
          <m:d>
            <m:dPr>
              <m:ctrlPr>
                <w:rPr>
                  <w:rFonts w:ascii="Cambria Math" w:hAnsi="Cambria Math" w:cs="Segoe UI"/>
                  <w:b/>
                  <w:color w:val="374151"/>
                  <w:sz w:val="21"/>
                  <w:szCs w:val="21"/>
                </w:rPr>
              </m:ctrlPr>
            </m:dPr>
            <m:e>
              <m:r>
                <m:rPr>
                  <m:sty m:val="b"/>
                </m:rPr>
                <w:rPr>
                  <w:rFonts w:ascii="Cambria Math" w:hAnsi="Cambria Math" w:cs="Segoe UI"/>
                  <w:color w:val="374151"/>
                  <w:sz w:val="21"/>
                  <w:szCs w:val="21"/>
                </w:rPr>
                <m:t>8</m:t>
              </m:r>
            </m:e>
          </m:d>
          <m:r>
            <m:rPr>
              <m:sty m:val="b"/>
            </m:rPr>
            <w:rPr>
              <w:rFonts w:ascii="Cambria Math" w:hAnsi="Cambria Math" w:cs="Segoe UI"/>
              <w:color w:val="374151"/>
              <w:sz w:val="21"/>
              <w:szCs w:val="21"/>
            </w:rPr>
            <m:t>=</m:t>
          </m:r>
          <m:f>
            <m:fPr>
              <m:ctrlPr>
                <w:rPr>
                  <w:rFonts w:ascii="Cambria Math" w:hAnsi="Cambria Math" w:cs="Segoe UI"/>
                  <w:b/>
                  <w:color w:val="374151"/>
                  <w:sz w:val="21"/>
                  <w:szCs w:val="21"/>
                </w:rPr>
              </m:ctrlPr>
            </m:fPr>
            <m:num>
              <m:r>
                <m:rPr>
                  <m:sty m:val="bi"/>
                </m:rPr>
                <w:rPr>
                  <w:rFonts w:ascii="Cambria Math" w:hAnsi="Cambria Math" w:cs="Segoe UI"/>
                  <w:color w:val="374151"/>
                  <w:sz w:val="21"/>
                  <w:szCs w:val="21"/>
                </w:rPr>
                <m:t>1</m:t>
              </m:r>
            </m:num>
            <m:den>
              <m:d>
                <m:dPr>
                  <m:ctrlPr>
                    <w:rPr>
                      <w:rFonts w:ascii="Cambria Math" w:hAnsi="Cambria Math" w:cs="Segoe UI"/>
                      <w:b/>
                      <w:i/>
                      <w:color w:val="374151"/>
                      <w:sz w:val="21"/>
                      <w:szCs w:val="21"/>
                    </w:rPr>
                  </m:ctrlPr>
                </m:dPr>
                <m:e>
                  <m:r>
                    <m:rPr>
                      <m:sty m:val="bi"/>
                    </m:rPr>
                    <w:rPr>
                      <w:rFonts w:ascii="Cambria Math" w:hAnsi="Cambria Math" w:cs="Segoe UI"/>
                      <w:color w:val="374151"/>
                      <w:sz w:val="21"/>
                      <w:szCs w:val="21"/>
                    </w:rPr>
                    <m:t>1-0.6</m:t>
                  </m:r>
                </m:e>
              </m:d>
              <m:r>
                <m:rPr>
                  <m:sty m:val="bi"/>
                </m:rPr>
                <w:rPr>
                  <w:rFonts w:ascii="Cambria Math" w:hAnsi="Cambria Math" w:cs="Segoe UI"/>
                  <w:color w:val="374151"/>
                  <w:sz w:val="21"/>
                  <w:szCs w:val="21"/>
                </w:rPr>
                <m:t>+</m:t>
              </m:r>
              <m:f>
                <m:fPr>
                  <m:ctrlPr>
                    <w:rPr>
                      <w:rFonts w:ascii="Cambria Math" w:hAnsi="Cambria Math" w:cs="Segoe UI"/>
                      <w:b/>
                      <w:i/>
                      <w:color w:val="374151"/>
                      <w:sz w:val="21"/>
                      <w:szCs w:val="21"/>
                    </w:rPr>
                  </m:ctrlPr>
                </m:fPr>
                <m:num>
                  <m:r>
                    <m:rPr>
                      <m:sty m:val="bi"/>
                    </m:rPr>
                    <w:rPr>
                      <w:rFonts w:ascii="Cambria Math" w:hAnsi="Cambria Math" w:cs="Segoe UI"/>
                      <w:color w:val="374151"/>
                      <w:sz w:val="21"/>
                      <w:szCs w:val="21"/>
                    </w:rPr>
                    <m:t>0.6</m:t>
                  </m:r>
                </m:num>
                <m:den>
                  <m:r>
                    <m:rPr>
                      <m:sty m:val="bi"/>
                    </m:rPr>
                    <w:rPr>
                      <w:rFonts w:ascii="Cambria Math" w:hAnsi="Cambria Math" w:cs="Segoe UI"/>
                      <w:color w:val="374151"/>
                      <w:sz w:val="21"/>
                      <w:szCs w:val="21"/>
                    </w:rPr>
                    <m:t>8</m:t>
                  </m:r>
                </m:den>
              </m:f>
            </m:den>
          </m:f>
          <m:r>
            <m:rPr>
              <m:sty m:val="b"/>
            </m:rPr>
            <w:rPr>
              <w:rFonts w:ascii="Cambria Math" w:hAnsi="Cambria Math" w:cs="Segoe UI"/>
              <w:color w:val="374151"/>
              <w:sz w:val="21"/>
              <w:szCs w:val="21"/>
            </w:rPr>
            <m:t xml:space="preserve"> </m:t>
          </m:r>
          <m:r>
            <m:rPr>
              <m:sty m:val="b"/>
            </m:rPr>
            <w:rPr>
              <w:rFonts w:ascii="Cambria Math" w:hAnsi="Cambria Math" w:cs="Segoe UI"/>
              <w:color w:val="374151"/>
              <w:sz w:val="21"/>
              <w:szCs w:val="21"/>
            </w:rPr>
            <m:t>≈</m:t>
          </m:r>
          <m:r>
            <m:rPr>
              <m:sty m:val="b"/>
            </m:rPr>
            <w:rPr>
              <w:rFonts w:ascii="Cambria Math" w:hAnsi="Cambria Math" w:cs="Segoe UI"/>
              <w:color w:val="374151"/>
              <w:sz w:val="21"/>
              <w:szCs w:val="21"/>
            </w:rPr>
            <m:t>2.1</m:t>
          </m:r>
        </m:oMath>
      </m:oMathPara>
    </w:p>
    <w:p w14:paraId="0EE8C627" w14:textId="1C29A153" w:rsidR="00610D87" w:rsidRDefault="00097CB6" w:rsidP="00610D87">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L</w:t>
      </w:r>
      <w:r w:rsidR="00610D87" w:rsidRPr="00610D87">
        <w:rPr>
          <w:rFonts w:ascii="Times New Roman" w:hAnsi="Times New Roman" w:cs="Times New Roman"/>
          <w:color w:val="auto"/>
          <w:sz w:val="24"/>
          <w:szCs w:val="24"/>
          <w:lang w:eastAsia="es-ES"/>
        </w:rPr>
        <w:t xml:space="preserve">a producción </w:t>
      </w:r>
      <w:r>
        <w:rPr>
          <w:rFonts w:ascii="Times New Roman" w:hAnsi="Times New Roman" w:cs="Times New Roman"/>
          <w:color w:val="auto"/>
          <w:sz w:val="24"/>
          <w:szCs w:val="24"/>
          <w:lang w:eastAsia="es-ES"/>
        </w:rPr>
        <w:t>sería</w:t>
      </w:r>
      <w:r w:rsidR="00610D87" w:rsidRPr="00610D87">
        <w:rPr>
          <w:rFonts w:ascii="Times New Roman" w:hAnsi="Times New Roman" w:cs="Times New Roman"/>
          <w:color w:val="auto"/>
          <w:sz w:val="24"/>
          <w:szCs w:val="24"/>
          <w:lang w:eastAsia="es-ES"/>
        </w:rPr>
        <w:t xml:space="preserve"> 2.1 veces más rápida en comparación con el proceso secuencial. </w:t>
      </w:r>
    </w:p>
    <w:p w14:paraId="7D2AC4CC" w14:textId="135743DE" w:rsidR="00610D87" w:rsidRPr="00610D87" w:rsidRDefault="00610D87" w:rsidP="00610D87">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Si asumimos que el tamaño de producción se puede escalar aumentando el número de baterías fabricadas simultámeamente</w:t>
      </w:r>
      <w:r w:rsidR="00F21531">
        <w:rPr>
          <w:rFonts w:ascii="Times New Roman" w:hAnsi="Times New Roman" w:cs="Times New Roman"/>
          <w:color w:val="auto"/>
          <w:sz w:val="24"/>
          <w:szCs w:val="24"/>
          <w:lang w:eastAsia="es-ES"/>
        </w:rPr>
        <w:t xml:space="preserve"> y usamos la Ley de Gustafson</w:t>
      </w:r>
    </w:p>
    <w:p w14:paraId="7E403D89" w14:textId="36D5F72F" w:rsidR="00F21531" w:rsidRPr="00F21531" w:rsidRDefault="00F21531" w:rsidP="00F21531">
      <w:pPr>
        <w:spacing w:after="0"/>
        <w:rPr>
          <w:rFonts w:ascii="Times New Roman" w:eastAsiaTheme="minorEastAsia" w:hAnsi="Times New Roman" w:cs="Times New Roman"/>
          <w:b/>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i/>
                  <w:color w:val="auto"/>
                  <w:sz w:val="24"/>
                  <w:szCs w:val="24"/>
                  <w:lang w:eastAsia="es-ES"/>
                </w:rPr>
              </m:ctrlPr>
            </m:dPr>
            <m:e>
              <m:r>
                <m:rPr>
                  <m:sty m:val="bi"/>
                </m:rPr>
                <w:rPr>
                  <w:rFonts w:ascii="Cambria Math" w:hAnsi="Cambria Math" w:cs="Times New Roman"/>
                  <w:color w:val="auto"/>
                  <w:sz w:val="24"/>
                  <w:szCs w:val="24"/>
                  <w:lang w:eastAsia="es-ES"/>
                </w:rPr>
                <m:t>8</m:t>
              </m:r>
            </m:e>
          </m:d>
          <m:r>
            <m:rPr>
              <m:sty m:val="bi"/>
            </m:rPr>
            <w:rPr>
              <w:rFonts w:ascii="Cambria Math" w:hAnsi="Cambria Math" w:cs="Times New Roman"/>
              <w:color w:val="auto"/>
              <w:sz w:val="24"/>
              <w:szCs w:val="24"/>
              <w:lang w:eastAsia="es-ES"/>
            </w:rPr>
            <m:t xml:space="preserve">=8-0.4(8-1) </m:t>
          </m:r>
          <m:r>
            <m:rPr>
              <m:sty m:val="bi"/>
            </m:rPr>
            <w:rPr>
              <w:rFonts w:ascii="Cambria Math" w:hAnsi="Cambria Math" w:cs="Times New Roman"/>
              <w:color w:val="auto"/>
              <w:sz w:val="24"/>
              <w:szCs w:val="24"/>
              <w:lang w:val="en-US" w:eastAsia="es-ES"/>
            </w:rPr>
            <m:t>= 5.2</m:t>
          </m:r>
          <m:r>
            <m:rPr>
              <m:sty m:val="bi"/>
            </m:rPr>
            <w:rPr>
              <w:rFonts w:ascii="Cambria Math" w:hAnsi="Cambria Math" w:cs="Times New Roman"/>
              <w:color w:val="auto"/>
              <w:sz w:val="24"/>
              <w:szCs w:val="24"/>
              <w:lang w:eastAsia="es-ES"/>
            </w:rPr>
            <m:t xml:space="preserve"> </m:t>
          </m:r>
        </m:oMath>
      </m:oMathPara>
    </w:p>
    <w:p w14:paraId="55B7CDD1" w14:textId="141F7B93" w:rsidR="00F21531" w:rsidRDefault="00F21531" w:rsidP="00F21531">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Observamos</w:t>
      </w:r>
      <w:r w:rsidRPr="00F21531">
        <w:rPr>
          <w:rFonts w:ascii="Times New Roman" w:hAnsi="Times New Roman" w:cs="Times New Roman"/>
          <w:color w:val="auto"/>
          <w:sz w:val="24"/>
          <w:szCs w:val="24"/>
          <w:lang w:eastAsia="es-ES"/>
        </w:rPr>
        <w:t xml:space="preserve"> que con 8 robots trabajando en paralelo, la aceleración efectiva del proceso alcanzaría aproximadamente </w:t>
      </w:r>
      <w:r w:rsidRPr="00F21531">
        <w:rPr>
          <w:rFonts w:ascii="Times New Roman" w:hAnsi="Times New Roman" w:cs="Times New Roman"/>
          <w:b/>
          <w:bCs/>
          <w:color w:val="auto"/>
          <w:sz w:val="24"/>
          <w:szCs w:val="24"/>
          <w:lang w:eastAsia="es-ES"/>
        </w:rPr>
        <w:t>5.2 veces</w:t>
      </w:r>
      <w:r w:rsidRPr="00F21531">
        <w:rPr>
          <w:rFonts w:ascii="Times New Roman" w:hAnsi="Times New Roman" w:cs="Times New Roman"/>
          <w:color w:val="auto"/>
          <w:sz w:val="24"/>
          <w:szCs w:val="24"/>
          <w:lang w:eastAsia="es-ES"/>
        </w:rPr>
        <w:t xml:space="preserve"> en comparación con la ejecución secuencial.</w:t>
      </w:r>
    </w:p>
    <w:p w14:paraId="0A0B6141" w14:textId="28B63C41" w:rsidR="008F48AA" w:rsidRPr="008F48AA" w:rsidRDefault="008F48AA" w:rsidP="008F48AA">
      <w:pPr>
        <w:rPr>
          <w:rFonts w:ascii="Times New Roman" w:hAnsi="Times New Roman" w:cs="Times New Roman"/>
          <w:color w:val="auto"/>
          <w:sz w:val="24"/>
          <w:szCs w:val="24"/>
          <w:lang w:eastAsia="es-ES"/>
        </w:rPr>
      </w:pPr>
      <w:r w:rsidRPr="008F48AA">
        <w:rPr>
          <w:rFonts w:ascii="Times New Roman" w:hAnsi="Times New Roman" w:cs="Times New Roman"/>
          <w:color w:val="auto"/>
          <w:sz w:val="24"/>
          <w:szCs w:val="24"/>
          <w:lang w:eastAsia="es-ES"/>
        </w:rPr>
        <w:t xml:space="preserve">En el escenario descrito, la Ley de Gustafson es más adecuada </w:t>
      </w:r>
      <w:r>
        <w:rPr>
          <w:lang w:eastAsia="es-ES"/>
        </w:rPr>
        <w:t>ya que</w:t>
      </w:r>
      <w:r w:rsidRPr="008F48AA">
        <w:rPr>
          <w:rFonts w:ascii="Times New Roman" w:hAnsi="Times New Roman" w:cs="Times New Roman"/>
          <w:color w:val="auto"/>
          <w:sz w:val="24"/>
          <w:szCs w:val="24"/>
          <w:lang w:eastAsia="es-ES"/>
        </w:rPr>
        <w:t xml:space="preserve"> el proceso de fabricación de baterías</w:t>
      </w:r>
      <w:r>
        <w:rPr>
          <w:rFonts w:ascii="Times New Roman" w:hAnsi="Times New Roman" w:cs="Times New Roman"/>
          <w:color w:val="auto"/>
          <w:sz w:val="24"/>
          <w:szCs w:val="24"/>
          <w:lang w:eastAsia="es-ES"/>
        </w:rPr>
        <w:t xml:space="preserve"> se</w:t>
      </w:r>
      <w:r w:rsidRPr="008F48AA">
        <w:rPr>
          <w:rFonts w:ascii="Times New Roman" w:hAnsi="Times New Roman" w:cs="Times New Roman"/>
          <w:color w:val="auto"/>
          <w:sz w:val="24"/>
          <w:szCs w:val="24"/>
          <w:lang w:eastAsia="es-ES"/>
        </w:rPr>
        <w:t xml:space="preserve"> puede escalar aumentando la producción y el número de robots o estaciones de trabajo. A diferencia de la Ley de Amdahl, que establece un límite teórico en la mejora del rendimiento debido a la parte secuencial del proceso, la Ley de Gustafson reconoce que, si aumentamos la cantidad de trabajo junto con los recursos disponibles, la eficiencia mejora significativamente.</w:t>
      </w:r>
    </w:p>
    <w:p w14:paraId="13067F44" w14:textId="17B688F5" w:rsidR="00610D87" w:rsidRPr="00610D87" w:rsidRDefault="002973A2" w:rsidP="00610D87">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r w:rsidR="008F48AA" w:rsidRPr="008F48AA">
        <w:rPr>
          <w:rFonts w:ascii="Times New Roman" w:hAnsi="Times New Roman" w:cs="Times New Roman"/>
          <w:color w:val="auto"/>
          <w:sz w:val="24"/>
          <w:szCs w:val="24"/>
          <w:lang w:eastAsia="es-ES"/>
        </w:rPr>
        <w:lastRenderedPageBreak/>
        <w:t>En este caso, al añadir más robots o estaciones, no solo reducimos el tiempo de cada tarea, sino que también podemos fabricar más baterías en paralelo. Por ello, Gustafson permite una visión más realista del crecimiento del rendimiento en una fábrica donde la producción puede expandirse con el uso de más recursos.</w:t>
      </w:r>
    </w:p>
    <w:p w14:paraId="7639264B" w14:textId="77777777" w:rsidR="008F48AA" w:rsidRDefault="00610D87" w:rsidP="00610D87">
      <w:pPr>
        <w:rPr>
          <w:rFonts w:ascii="Times New Roman" w:hAnsi="Times New Roman" w:cs="Times New Roman"/>
          <w:color w:val="auto"/>
          <w:sz w:val="24"/>
          <w:szCs w:val="24"/>
          <w:lang w:eastAsia="es-ES"/>
        </w:rPr>
      </w:pPr>
      <w:r w:rsidRPr="00610D87">
        <w:rPr>
          <w:rFonts w:ascii="Times New Roman" w:hAnsi="Times New Roman" w:cs="Times New Roman"/>
          <w:color w:val="auto"/>
          <w:sz w:val="24"/>
          <w:szCs w:val="24"/>
          <w:lang w:eastAsia="es-ES"/>
        </w:rPr>
        <w:t xml:space="preserve">Para implementar la paralelización en la fábrica, se pueden adoptar </w:t>
      </w:r>
      <w:r w:rsidR="008F48AA">
        <w:rPr>
          <w:rFonts w:ascii="Times New Roman" w:hAnsi="Times New Roman" w:cs="Times New Roman"/>
          <w:color w:val="auto"/>
          <w:sz w:val="24"/>
          <w:szCs w:val="24"/>
          <w:lang w:eastAsia="es-ES"/>
        </w:rPr>
        <w:t xml:space="preserve">por </w:t>
      </w:r>
      <w:r w:rsidRPr="00610D87">
        <w:rPr>
          <w:rFonts w:ascii="Times New Roman" w:hAnsi="Times New Roman" w:cs="Times New Roman"/>
          <w:color w:val="auto"/>
          <w:sz w:val="24"/>
          <w:szCs w:val="24"/>
          <w:lang w:eastAsia="es-ES"/>
        </w:rPr>
        <w:t xml:space="preserve">varias estrategias. </w:t>
      </w:r>
      <w:r w:rsidR="008F48AA">
        <w:rPr>
          <w:rFonts w:ascii="Times New Roman" w:hAnsi="Times New Roman" w:cs="Times New Roman"/>
          <w:color w:val="auto"/>
          <w:sz w:val="24"/>
          <w:szCs w:val="24"/>
          <w:lang w:eastAsia="es-ES"/>
        </w:rPr>
        <w:t>Sería util</w:t>
      </w:r>
      <w:r w:rsidRPr="00610D87">
        <w:rPr>
          <w:rFonts w:ascii="Times New Roman" w:hAnsi="Times New Roman" w:cs="Times New Roman"/>
          <w:color w:val="auto"/>
          <w:sz w:val="24"/>
          <w:szCs w:val="24"/>
          <w:lang w:eastAsia="es-ES"/>
        </w:rPr>
        <w:t xml:space="preserve"> utilizar robots colaborativos para la inspección simultánea de celdas, dividir el montaje de módulos</w:t>
      </w:r>
      <w:r w:rsidR="008F48AA">
        <w:rPr>
          <w:rFonts w:ascii="Times New Roman" w:hAnsi="Times New Roman" w:cs="Times New Roman"/>
          <w:color w:val="auto"/>
          <w:sz w:val="24"/>
          <w:szCs w:val="24"/>
          <w:lang w:eastAsia="es-ES"/>
        </w:rPr>
        <w:t xml:space="preserve">, </w:t>
      </w:r>
      <w:r w:rsidRPr="00610D87">
        <w:rPr>
          <w:rFonts w:ascii="Times New Roman" w:hAnsi="Times New Roman" w:cs="Times New Roman"/>
          <w:color w:val="auto"/>
          <w:sz w:val="24"/>
          <w:szCs w:val="24"/>
          <w:lang w:eastAsia="es-ES"/>
        </w:rPr>
        <w:t>y ejecutar pruebas de carga en paralelo en diferentes baterías</w:t>
      </w:r>
      <w:r w:rsidR="008F48AA">
        <w:rPr>
          <w:rFonts w:ascii="Times New Roman" w:hAnsi="Times New Roman" w:cs="Times New Roman"/>
          <w:color w:val="auto"/>
          <w:sz w:val="24"/>
          <w:szCs w:val="24"/>
          <w:lang w:eastAsia="es-ES"/>
        </w:rPr>
        <w:t xml:space="preserve">. </w:t>
      </w:r>
    </w:p>
    <w:p w14:paraId="5774E639" w14:textId="692F14CC" w:rsidR="00610D87" w:rsidRPr="00610D87" w:rsidRDefault="008F48AA" w:rsidP="00610D87">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La</w:t>
      </w:r>
      <w:r w:rsidR="00610D87" w:rsidRPr="00610D87">
        <w:rPr>
          <w:rFonts w:ascii="Times New Roman" w:hAnsi="Times New Roman" w:cs="Times New Roman"/>
          <w:color w:val="auto"/>
          <w:sz w:val="24"/>
          <w:szCs w:val="24"/>
          <w:lang w:eastAsia="es-ES"/>
        </w:rPr>
        <w:t xml:space="preserve"> implementación de este modelo presenta desafíos como la sincronización entre estaciones para evitar cuellos de botella, la necesidad de un sistema eficiente de comunicación y gestión de datos, y la optimización de algoritmos para distribuir la carga de trabajo de manera equitativa.</w:t>
      </w:r>
    </w:p>
    <w:p w14:paraId="3AB10308" w14:textId="097F06A8" w:rsidR="00610D87" w:rsidRPr="00610D87" w:rsidRDefault="00610D87" w:rsidP="00610D87">
      <w:pPr>
        <w:rPr>
          <w:rFonts w:ascii="Times New Roman" w:hAnsi="Times New Roman" w:cs="Times New Roman"/>
          <w:color w:val="auto"/>
          <w:sz w:val="24"/>
          <w:szCs w:val="24"/>
          <w:lang w:eastAsia="es-ES"/>
        </w:rPr>
      </w:pPr>
      <w:r w:rsidRPr="00610D87">
        <w:rPr>
          <w:rFonts w:ascii="Times New Roman" w:hAnsi="Times New Roman" w:cs="Times New Roman"/>
          <w:color w:val="auto"/>
          <w:sz w:val="24"/>
          <w:szCs w:val="24"/>
          <w:lang w:eastAsia="es-ES"/>
        </w:rPr>
        <w:t xml:space="preserve">Además de la paralelización, se pueden aplicar otras tecnologías para mejorar aún más la producción, como el uso de robots colaborativos inteligentes, simulaciones computacionales para optimizar la distribución del trabajo y la integración de sensores avanzados para mejorar la inspección de calidad. </w:t>
      </w:r>
    </w:p>
    <w:p w14:paraId="1F2C34B6" w14:textId="1E2E225D" w:rsidR="00B70ABB" w:rsidRPr="000501C1" w:rsidRDefault="00B70ABB" w:rsidP="00886AEC">
      <w:pPr>
        <w:rPr>
          <w:rFonts w:ascii="Times New Roman" w:hAnsi="Times New Roman" w:cs="Times New Roman"/>
          <w:color w:val="auto"/>
          <w:sz w:val="24"/>
          <w:szCs w:val="24"/>
          <w:lang w:eastAsia="es-ES"/>
        </w:rPr>
      </w:pPr>
    </w:p>
    <w:sectPr w:rsidR="00B70ABB" w:rsidRPr="000501C1" w:rsidSect="002E46AB">
      <w:headerReference w:type="default" r:id="rId8"/>
      <w:footerReference w:type="default" r:id="rId9"/>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8F65B" w14:textId="77777777" w:rsidR="0039797B" w:rsidRDefault="0039797B">
      <w:pPr>
        <w:spacing w:after="0" w:line="240" w:lineRule="auto"/>
      </w:pPr>
      <w:r>
        <w:separator/>
      </w:r>
    </w:p>
  </w:endnote>
  <w:endnote w:type="continuationSeparator" w:id="0">
    <w:p w14:paraId="044AA5D6" w14:textId="77777777" w:rsidR="0039797B" w:rsidRDefault="0039797B">
      <w:pPr>
        <w:spacing w:after="0" w:line="240" w:lineRule="auto"/>
      </w:pPr>
      <w:r>
        <w:continuationSeparator/>
      </w:r>
    </w:p>
  </w:endnote>
  <w:endnote w:type="continuationNotice" w:id="1">
    <w:p w14:paraId="36F77D84" w14:textId="77777777" w:rsidR="0039797B" w:rsidRDefault="003979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7593993C"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0501C1">
      <w:rPr>
        <w:caps/>
        <w:noProof/>
        <w:color w:val="E09B3B" w:themeColor="accent1"/>
        <w:sz w:val="22"/>
      </w:rPr>
      <w:t>1</w:t>
    </w:r>
    <w:r w:rsidR="007B0749">
      <w:rPr>
        <w:caps/>
        <w:noProof/>
        <w:color w:val="E09B3B" w:themeColor="accent1"/>
        <w:sz w:val="22"/>
      </w:rPr>
      <w:t>9</w:t>
    </w:r>
    <w:r w:rsidRPr="00201B94">
      <w:rPr>
        <w:caps/>
        <w:noProof/>
        <w:color w:val="E09B3B" w:themeColor="accent1"/>
        <w:sz w:val="22"/>
      </w:rPr>
      <w:t>/</w:t>
    </w:r>
    <w:r w:rsidR="006621B1">
      <w:rPr>
        <w:caps/>
        <w:noProof/>
        <w:color w:val="E09B3B" w:themeColor="accent1"/>
        <w:sz w:val="22"/>
      </w:rPr>
      <w:t>1</w:t>
    </w:r>
    <w:r w:rsidR="000501C1">
      <w:rPr>
        <w:caps/>
        <w:noProof/>
        <w:color w:val="E09B3B" w:themeColor="accent1"/>
        <w:sz w:val="22"/>
      </w:rPr>
      <w:t>1</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1D30E" w14:textId="77777777" w:rsidR="0039797B" w:rsidRDefault="0039797B">
      <w:pPr>
        <w:spacing w:after="0" w:line="240" w:lineRule="auto"/>
      </w:pPr>
      <w:r>
        <w:separator/>
      </w:r>
    </w:p>
  </w:footnote>
  <w:footnote w:type="continuationSeparator" w:id="0">
    <w:p w14:paraId="5CC81427" w14:textId="77777777" w:rsidR="0039797B" w:rsidRDefault="0039797B">
      <w:pPr>
        <w:spacing w:after="0" w:line="240" w:lineRule="auto"/>
      </w:pPr>
      <w:r>
        <w:continuationSeparator/>
      </w:r>
    </w:p>
  </w:footnote>
  <w:footnote w:type="continuationNotice" w:id="1">
    <w:p w14:paraId="35362458" w14:textId="77777777" w:rsidR="0039797B" w:rsidRDefault="003979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5FB5CDA8"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4368BA" w:rsidRPr="004368BA">
      <w:rPr>
        <w:rFonts w:ascii="Lucida Sans Unicode" w:hAnsi="Lucida Sans Unicode"/>
        <w:color w:val="C45911"/>
        <w:sz w:val="18"/>
        <w:szCs w:val="18"/>
      </w:rPr>
      <w:t>Sistemas Expertos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9"/>
  </w:num>
  <w:num w:numId="4" w16cid:durableId="14119573">
    <w:abstractNumId w:val="0"/>
  </w:num>
  <w:num w:numId="5" w16cid:durableId="2054884032">
    <w:abstractNumId w:val="16"/>
  </w:num>
  <w:num w:numId="6" w16cid:durableId="295139593">
    <w:abstractNumId w:val="15"/>
  </w:num>
  <w:num w:numId="7" w16cid:durableId="1521045485">
    <w:abstractNumId w:val="2"/>
  </w:num>
  <w:num w:numId="8" w16cid:durableId="2049454101">
    <w:abstractNumId w:val="8"/>
  </w:num>
  <w:num w:numId="9" w16cid:durableId="2073960303">
    <w:abstractNumId w:val="4"/>
  </w:num>
  <w:num w:numId="10" w16cid:durableId="1451633536">
    <w:abstractNumId w:val="12"/>
  </w:num>
  <w:num w:numId="11" w16cid:durableId="1219438155">
    <w:abstractNumId w:val="14"/>
  </w:num>
  <w:num w:numId="12" w16cid:durableId="1091512041">
    <w:abstractNumId w:val="6"/>
  </w:num>
  <w:num w:numId="13" w16cid:durableId="1910652042">
    <w:abstractNumId w:val="13"/>
  </w:num>
  <w:num w:numId="14" w16cid:durableId="1830368842">
    <w:abstractNumId w:val="11"/>
  </w:num>
  <w:num w:numId="15" w16cid:durableId="110440463">
    <w:abstractNumId w:val="3"/>
  </w:num>
  <w:num w:numId="16" w16cid:durableId="1238831559">
    <w:abstractNumId w:val="10"/>
  </w:num>
  <w:num w:numId="17" w16cid:durableId="1363018465">
    <w:abstractNumId w:val="5"/>
  </w:num>
  <w:num w:numId="18" w16cid:durableId="77262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97CB6"/>
    <w:rsid w:val="000D3360"/>
    <w:rsid w:val="000E73F8"/>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973A2"/>
    <w:rsid w:val="002B0FF3"/>
    <w:rsid w:val="002C4ABF"/>
    <w:rsid w:val="002C6683"/>
    <w:rsid w:val="002E46AB"/>
    <w:rsid w:val="002E502A"/>
    <w:rsid w:val="003076BD"/>
    <w:rsid w:val="00335E65"/>
    <w:rsid w:val="0039797B"/>
    <w:rsid w:val="003C09B2"/>
    <w:rsid w:val="003C162E"/>
    <w:rsid w:val="003C4ABA"/>
    <w:rsid w:val="003C5F03"/>
    <w:rsid w:val="00412E4C"/>
    <w:rsid w:val="0042587E"/>
    <w:rsid w:val="00430814"/>
    <w:rsid w:val="004368BA"/>
    <w:rsid w:val="00462AE7"/>
    <w:rsid w:val="004747BA"/>
    <w:rsid w:val="0049753E"/>
    <w:rsid w:val="004B491D"/>
    <w:rsid w:val="004D332E"/>
    <w:rsid w:val="004F512B"/>
    <w:rsid w:val="005279B2"/>
    <w:rsid w:val="00533017"/>
    <w:rsid w:val="00556F84"/>
    <w:rsid w:val="00587150"/>
    <w:rsid w:val="00596412"/>
    <w:rsid w:val="005A766F"/>
    <w:rsid w:val="005B380A"/>
    <w:rsid w:val="005D3F3D"/>
    <w:rsid w:val="005D46E4"/>
    <w:rsid w:val="005F7628"/>
    <w:rsid w:val="005F7C95"/>
    <w:rsid w:val="00604FF2"/>
    <w:rsid w:val="00610D87"/>
    <w:rsid w:val="00621A88"/>
    <w:rsid w:val="0062213C"/>
    <w:rsid w:val="00647287"/>
    <w:rsid w:val="00654D97"/>
    <w:rsid w:val="006621B1"/>
    <w:rsid w:val="0067279D"/>
    <w:rsid w:val="006858A8"/>
    <w:rsid w:val="006927CF"/>
    <w:rsid w:val="00693850"/>
    <w:rsid w:val="006B74C6"/>
    <w:rsid w:val="0073302C"/>
    <w:rsid w:val="00742041"/>
    <w:rsid w:val="00742EAA"/>
    <w:rsid w:val="00745A92"/>
    <w:rsid w:val="00752F27"/>
    <w:rsid w:val="007552C1"/>
    <w:rsid w:val="00762968"/>
    <w:rsid w:val="00786C3D"/>
    <w:rsid w:val="00794F7B"/>
    <w:rsid w:val="007B0749"/>
    <w:rsid w:val="00874C4C"/>
    <w:rsid w:val="00886AEC"/>
    <w:rsid w:val="008968AD"/>
    <w:rsid w:val="008B7F78"/>
    <w:rsid w:val="008C0743"/>
    <w:rsid w:val="008C68F5"/>
    <w:rsid w:val="008D6406"/>
    <w:rsid w:val="008E25CF"/>
    <w:rsid w:val="008F25A0"/>
    <w:rsid w:val="008F48AA"/>
    <w:rsid w:val="008F63EB"/>
    <w:rsid w:val="009071CC"/>
    <w:rsid w:val="00916172"/>
    <w:rsid w:val="0092153D"/>
    <w:rsid w:val="00923570"/>
    <w:rsid w:val="00945CF5"/>
    <w:rsid w:val="0095073E"/>
    <w:rsid w:val="00993BC5"/>
    <w:rsid w:val="009A2441"/>
    <w:rsid w:val="009C4BFA"/>
    <w:rsid w:val="009D45F2"/>
    <w:rsid w:val="009D5CF9"/>
    <w:rsid w:val="009E2A6F"/>
    <w:rsid w:val="009E58CB"/>
    <w:rsid w:val="009F4500"/>
    <w:rsid w:val="00A26274"/>
    <w:rsid w:val="00A501E2"/>
    <w:rsid w:val="00A50923"/>
    <w:rsid w:val="00A76EBF"/>
    <w:rsid w:val="00A81411"/>
    <w:rsid w:val="00A81AD4"/>
    <w:rsid w:val="00A86E8C"/>
    <w:rsid w:val="00A90AFD"/>
    <w:rsid w:val="00AC1025"/>
    <w:rsid w:val="00AE27DE"/>
    <w:rsid w:val="00AF12C6"/>
    <w:rsid w:val="00B01D60"/>
    <w:rsid w:val="00B37492"/>
    <w:rsid w:val="00B43C61"/>
    <w:rsid w:val="00B565F9"/>
    <w:rsid w:val="00B70ABB"/>
    <w:rsid w:val="00B772A0"/>
    <w:rsid w:val="00B97308"/>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40E8C"/>
    <w:rsid w:val="00D646FB"/>
    <w:rsid w:val="00D92230"/>
    <w:rsid w:val="00DC2AC3"/>
    <w:rsid w:val="00DE4C8D"/>
    <w:rsid w:val="00DE6D38"/>
    <w:rsid w:val="00E02B3D"/>
    <w:rsid w:val="00E10E9D"/>
    <w:rsid w:val="00E417E9"/>
    <w:rsid w:val="00E44605"/>
    <w:rsid w:val="00E513D2"/>
    <w:rsid w:val="00E63313"/>
    <w:rsid w:val="00E74303"/>
    <w:rsid w:val="00ED6A2A"/>
    <w:rsid w:val="00EF5E65"/>
    <w:rsid w:val="00F21531"/>
    <w:rsid w:val="00F42D46"/>
    <w:rsid w:val="00F631A8"/>
    <w:rsid w:val="00F73FF9"/>
    <w:rsid w:val="00F849CF"/>
    <w:rsid w:val="00F8678E"/>
    <w:rsid w:val="00FA5358"/>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7584">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6804">
      <w:bodyDiv w:val="1"/>
      <w:marLeft w:val="0"/>
      <w:marRight w:val="0"/>
      <w:marTop w:val="0"/>
      <w:marBottom w:val="0"/>
      <w:divBdr>
        <w:top w:val="none" w:sz="0" w:space="0" w:color="auto"/>
        <w:left w:val="none" w:sz="0" w:space="0" w:color="auto"/>
        <w:bottom w:val="none" w:sz="0" w:space="0" w:color="auto"/>
        <w:right w:val="none" w:sz="0" w:space="0" w:color="auto"/>
      </w:divBdr>
    </w:div>
    <w:div w:id="1175999854">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1083268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A44-C65F-D244-90F2-904EBD90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914</Words>
  <Characters>5030</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5933</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8</cp:revision>
  <cp:lastPrinted>2024-11-19T22:58:00Z</cp:lastPrinted>
  <dcterms:created xsi:type="dcterms:W3CDTF">2025-02-03T14:56:00Z</dcterms:created>
  <dcterms:modified xsi:type="dcterms:W3CDTF">2025-02-08T14:10:00Z</dcterms:modified>
</cp:coreProperties>
</file>