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AEE" w:rsidRDefault="00AF7AEE" w:rsidP="00AF7AEE">
      <w:pPr>
        <w:spacing w:after="240"/>
        <w:rPr>
          <w:b/>
          <w:sz w:val="36"/>
          <w:szCs w:val="36"/>
        </w:rPr>
      </w:pPr>
      <w:bookmarkStart w:id="0" w:name="_GoBack"/>
      <w:bookmarkEnd w:id="0"/>
      <w:r w:rsidRPr="001825D1">
        <w:rPr>
          <w:b/>
          <w:sz w:val="36"/>
          <w:szCs w:val="36"/>
        </w:rPr>
        <w:t>Front-End Web Developer Project</w:t>
      </w:r>
    </w:p>
    <w:p w:rsidR="001A71C3" w:rsidRPr="001825D1" w:rsidRDefault="001A71C3" w:rsidP="00AF7AEE">
      <w:pPr>
        <w:spacing w:after="240"/>
        <w:rPr>
          <w:b/>
          <w:sz w:val="36"/>
          <w:szCs w:val="36"/>
        </w:rPr>
      </w:pPr>
      <w:r>
        <w:rPr>
          <w:b/>
          <w:noProof/>
          <w:sz w:val="36"/>
          <w:szCs w:val="36"/>
        </w:rPr>
        <w:drawing>
          <wp:inline distT="0" distB="0" distL="0" distR="0">
            <wp:extent cx="5109276"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code-mainmenu.png"/>
                    <pic:cNvPicPr/>
                  </pic:nvPicPr>
                  <pic:blipFill>
                    <a:blip r:embed="rId6">
                      <a:extLst>
                        <a:ext uri="{28A0092B-C50C-407E-A947-70E740481C1C}">
                          <a14:useLocalDpi xmlns:a14="http://schemas.microsoft.com/office/drawing/2010/main" val="0"/>
                        </a:ext>
                      </a:extLst>
                    </a:blip>
                    <a:stretch>
                      <a:fillRect/>
                    </a:stretch>
                  </pic:blipFill>
                  <pic:spPr>
                    <a:xfrm>
                      <a:off x="0" y="0"/>
                      <a:ext cx="5119386" cy="3397610"/>
                    </a:xfrm>
                    <a:prstGeom prst="rect">
                      <a:avLst/>
                    </a:prstGeom>
                  </pic:spPr>
                </pic:pic>
              </a:graphicData>
            </a:graphic>
          </wp:inline>
        </w:drawing>
      </w:r>
    </w:p>
    <w:p w:rsidR="001A06A3" w:rsidRDefault="001A06A3" w:rsidP="00AF7AEE">
      <w:pPr>
        <w:spacing w:after="240"/>
        <w:rPr>
          <w:noProof/>
        </w:rPr>
      </w:pPr>
      <w:r w:rsidRPr="00BA24D3">
        <w:rPr>
          <w:b/>
        </w:rPr>
        <w:t xml:space="preserve">The task: </w:t>
      </w:r>
      <w:r>
        <w:t xml:space="preserve">Using HTML, CSS, and JavaScript, design and build </w:t>
      </w:r>
      <w:r w:rsidR="00F92A3C">
        <w:t>four</w:t>
      </w:r>
      <w:r>
        <w:t xml:space="preserve"> web pages for the course “HEAP: Eligibility &amp; Certification.” </w:t>
      </w:r>
      <w:r>
        <w:rPr>
          <w:noProof/>
        </w:rPr>
        <w:t>Please adhere to the following specifications:</w:t>
      </w:r>
    </w:p>
    <w:p w:rsidR="001A06A3" w:rsidRDefault="001A06A3" w:rsidP="00AF7AEE">
      <w:pPr>
        <w:pStyle w:val="ListParagraph"/>
        <w:numPr>
          <w:ilvl w:val="0"/>
          <w:numId w:val="4"/>
        </w:numPr>
        <w:spacing w:after="120"/>
        <w:contextualSpacing w:val="0"/>
        <w:rPr>
          <w:noProof/>
        </w:rPr>
      </w:pPr>
      <w:r>
        <w:rPr>
          <w:noProof/>
        </w:rPr>
        <w:t>Be sure your HTML is valid.</w:t>
      </w:r>
    </w:p>
    <w:p w:rsidR="001A06A3" w:rsidRDefault="001A06A3" w:rsidP="00AF7AEE">
      <w:pPr>
        <w:pStyle w:val="ListParagraph"/>
        <w:numPr>
          <w:ilvl w:val="0"/>
          <w:numId w:val="4"/>
        </w:numPr>
        <w:spacing w:after="120"/>
        <w:contextualSpacing w:val="0"/>
        <w:rPr>
          <w:noProof/>
        </w:rPr>
      </w:pPr>
      <w:r>
        <w:rPr>
          <w:noProof/>
        </w:rPr>
        <w:t>The pages must be responsive.</w:t>
      </w:r>
    </w:p>
    <w:p w:rsidR="001A06A3" w:rsidRDefault="00F92A3C" w:rsidP="00AA2E82">
      <w:pPr>
        <w:pStyle w:val="ListParagraph"/>
        <w:numPr>
          <w:ilvl w:val="0"/>
          <w:numId w:val="4"/>
        </w:numPr>
        <w:spacing w:after="120"/>
        <w:contextualSpacing w:val="0"/>
        <w:rPr>
          <w:noProof/>
        </w:rPr>
      </w:pPr>
      <w:r>
        <w:rPr>
          <w:noProof/>
        </w:rPr>
        <w:t>The pages should confo</w:t>
      </w:r>
      <w:r w:rsidR="001A06A3">
        <w:rPr>
          <w:noProof/>
        </w:rPr>
        <w:t>rm to Section 508 accessibility standards.</w:t>
      </w:r>
      <w:r w:rsidR="00AA2E82">
        <w:rPr>
          <w:noProof/>
        </w:rPr>
        <w:t xml:space="preserve"> See checklist here: </w:t>
      </w:r>
      <w:hyperlink r:id="rId7" w:history="1">
        <w:r w:rsidR="00AA2E82" w:rsidRPr="00755537">
          <w:rPr>
            <w:rStyle w:val="Hyperlink"/>
            <w:noProof/>
          </w:rPr>
          <w:t>http://webaim.org/standards/508/checklist</w:t>
        </w:r>
      </w:hyperlink>
    </w:p>
    <w:p w:rsidR="001A06A3" w:rsidRDefault="001A06A3" w:rsidP="00AF7AEE">
      <w:pPr>
        <w:pStyle w:val="ListParagraph"/>
        <w:numPr>
          <w:ilvl w:val="0"/>
          <w:numId w:val="4"/>
        </w:numPr>
        <w:spacing w:after="120"/>
        <w:contextualSpacing w:val="0"/>
        <w:rPr>
          <w:noProof/>
        </w:rPr>
      </w:pPr>
      <w:r>
        <w:rPr>
          <w:noProof/>
        </w:rPr>
        <w:t xml:space="preserve">Use the provided main menu </w:t>
      </w:r>
      <w:r w:rsidR="00DB4573">
        <w:rPr>
          <w:noProof/>
        </w:rPr>
        <w:t>graphic</w:t>
      </w:r>
      <w:r w:rsidR="00D30901">
        <w:rPr>
          <w:noProof/>
        </w:rPr>
        <w:t xml:space="preserve"> file</w:t>
      </w:r>
      <w:r>
        <w:rPr>
          <w:noProof/>
        </w:rPr>
        <w:t xml:space="preserve"> </w:t>
      </w:r>
      <w:r w:rsidR="006600FB">
        <w:rPr>
          <w:noProof/>
        </w:rPr>
        <w:t xml:space="preserve">(GUI-code-mainmenu.png) </w:t>
      </w:r>
      <w:r w:rsidR="00F92A3C">
        <w:rPr>
          <w:noProof/>
        </w:rPr>
        <w:t xml:space="preserve">to </w:t>
      </w:r>
      <w:r>
        <w:rPr>
          <w:noProof/>
        </w:rPr>
        <w:t xml:space="preserve">design </w:t>
      </w:r>
      <w:r w:rsidR="00F92A3C">
        <w:rPr>
          <w:noProof/>
        </w:rPr>
        <w:t xml:space="preserve">and build </w:t>
      </w:r>
      <w:r>
        <w:rPr>
          <w:noProof/>
        </w:rPr>
        <w:t xml:space="preserve">the </w:t>
      </w:r>
      <w:r w:rsidR="00F92A3C">
        <w:rPr>
          <w:noProof/>
        </w:rPr>
        <w:t xml:space="preserve">main menu and three </w:t>
      </w:r>
      <w:r>
        <w:rPr>
          <w:noProof/>
        </w:rPr>
        <w:t>content pages</w:t>
      </w:r>
      <w:r w:rsidR="00F92A3C">
        <w:rPr>
          <w:noProof/>
        </w:rPr>
        <w:t xml:space="preserve"> as</w:t>
      </w:r>
      <w:r>
        <w:rPr>
          <w:noProof/>
        </w:rPr>
        <w:t xml:space="preserve"> listed below.</w:t>
      </w:r>
    </w:p>
    <w:p w:rsidR="001A06A3" w:rsidRDefault="001A06A3" w:rsidP="00AF7AEE">
      <w:pPr>
        <w:pStyle w:val="ListParagraph"/>
        <w:numPr>
          <w:ilvl w:val="0"/>
          <w:numId w:val="4"/>
        </w:numPr>
        <w:spacing w:after="120"/>
        <w:contextualSpacing w:val="0"/>
        <w:rPr>
          <w:noProof/>
        </w:rPr>
      </w:pPr>
      <w:r>
        <w:rPr>
          <w:noProof/>
        </w:rPr>
        <w:t>Each page must include:</w:t>
      </w:r>
    </w:p>
    <w:p w:rsidR="001A06A3" w:rsidRDefault="001A06A3" w:rsidP="00AF7AEE">
      <w:pPr>
        <w:pStyle w:val="ListParagraph"/>
        <w:numPr>
          <w:ilvl w:val="1"/>
          <w:numId w:val="4"/>
        </w:numPr>
        <w:spacing w:after="120"/>
        <w:contextualSpacing w:val="0"/>
        <w:rPr>
          <w:noProof/>
        </w:rPr>
      </w:pPr>
      <w:r>
        <w:rPr>
          <w:noProof/>
        </w:rPr>
        <w:t>Navigation buttons to move from page to page (BACK and NEXT buttons)</w:t>
      </w:r>
    </w:p>
    <w:p w:rsidR="001A06A3" w:rsidRDefault="001A06A3" w:rsidP="00AF7AEE">
      <w:pPr>
        <w:pStyle w:val="ListParagraph"/>
        <w:numPr>
          <w:ilvl w:val="1"/>
          <w:numId w:val="4"/>
        </w:numPr>
        <w:spacing w:after="120"/>
        <w:contextualSpacing w:val="0"/>
        <w:rPr>
          <w:noProof/>
        </w:rPr>
      </w:pPr>
      <w:r>
        <w:rPr>
          <w:noProof/>
        </w:rPr>
        <w:t>The top navigation bar, which includes the links: Main Menu, Progress, Resources, Help, and TrainingSpace</w:t>
      </w:r>
    </w:p>
    <w:p w:rsidR="001A06A3" w:rsidRDefault="001A06A3" w:rsidP="00AF7AEE">
      <w:pPr>
        <w:pStyle w:val="ListParagraph"/>
        <w:numPr>
          <w:ilvl w:val="1"/>
          <w:numId w:val="4"/>
        </w:numPr>
        <w:spacing w:after="120"/>
        <w:contextualSpacing w:val="0"/>
        <w:rPr>
          <w:noProof/>
        </w:rPr>
      </w:pPr>
      <w:r>
        <w:rPr>
          <w:noProof/>
        </w:rPr>
        <w:t>Design elements from the main menu design provided</w:t>
      </w:r>
    </w:p>
    <w:p w:rsidR="001A06A3" w:rsidRDefault="001A06A3" w:rsidP="00AF7AEE">
      <w:pPr>
        <w:pStyle w:val="ListParagraph"/>
        <w:numPr>
          <w:ilvl w:val="1"/>
          <w:numId w:val="4"/>
        </w:numPr>
        <w:spacing w:after="120"/>
        <w:contextualSpacing w:val="0"/>
        <w:rPr>
          <w:noProof/>
        </w:rPr>
      </w:pPr>
      <w:r>
        <w:rPr>
          <w:noProof/>
        </w:rPr>
        <w:t>Title of the page</w:t>
      </w:r>
    </w:p>
    <w:p w:rsidR="001A06A3" w:rsidRDefault="001A06A3" w:rsidP="00AF7AEE">
      <w:pPr>
        <w:pStyle w:val="ListParagraph"/>
        <w:numPr>
          <w:ilvl w:val="1"/>
          <w:numId w:val="4"/>
        </w:numPr>
        <w:spacing w:after="120"/>
        <w:contextualSpacing w:val="0"/>
        <w:rPr>
          <w:noProof/>
        </w:rPr>
      </w:pPr>
      <w:r>
        <w:rPr>
          <w:noProof/>
        </w:rPr>
        <w:t>Content for that page, as specified.</w:t>
      </w:r>
    </w:p>
    <w:p w:rsidR="00655EFB" w:rsidRDefault="00F92A3C" w:rsidP="00E87702">
      <w:pPr>
        <w:pStyle w:val="ListParagraph"/>
        <w:numPr>
          <w:ilvl w:val="1"/>
          <w:numId w:val="4"/>
        </w:numPr>
        <w:spacing w:after="120"/>
        <w:contextualSpacing w:val="0"/>
        <w:rPr>
          <w:noProof/>
        </w:rPr>
      </w:pPr>
      <w:r>
        <w:rPr>
          <w:noProof/>
        </w:rPr>
        <w:t>The page number</w:t>
      </w:r>
    </w:p>
    <w:p w:rsidR="00D30901" w:rsidRDefault="00D30901" w:rsidP="00D30901">
      <w:pPr>
        <w:pStyle w:val="ListParagraph"/>
        <w:numPr>
          <w:ilvl w:val="0"/>
          <w:numId w:val="4"/>
        </w:numPr>
        <w:spacing w:after="120"/>
        <w:contextualSpacing w:val="0"/>
        <w:rPr>
          <w:noProof/>
        </w:rPr>
      </w:pPr>
      <w:r>
        <w:rPr>
          <w:noProof/>
        </w:rPr>
        <w:t>Use the design theme of the main menu to design the content pages.</w:t>
      </w:r>
    </w:p>
    <w:p w:rsidR="00655EFB" w:rsidRDefault="00655EFB" w:rsidP="00E87702"/>
    <w:p w:rsidR="00E87702" w:rsidRDefault="00E87702" w:rsidP="00E87702"/>
    <w:tbl>
      <w:tblPr>
        <w:tblStyle w:val="TableGrid"/>
        <w:tblW w:w="0" w:type="auto"/>
        <w:tblCellMar>
          <w:top w:w="43" w:type="dxa"/>
          <w:left w:w="115" w:type="dxa"/>
          <w:bottom w:w="43" w:type="dxa"/>
          <w:right w:w="115" w:type="dxa"/>
        </w:tblCellMar>
        <w:tblLook w:val="04A0" w:firstRow="1" w:lastRow="0" w:firstColumn="1" w:lastColumn="0" w:noHBand="0" w:noVBand="1"/>
      </w:tblPr>
      <w:tblGrid>
        <w:gridCol w:w="355"/>
        <w:gridCol w:w="1440"/>
        <w:gridCol w:w="6030"/>
        <w:gridCol w:w="1525"/>
      </w:tblGrid>
      <w:tr w:rsidR="00F92A3C" w:rsidTr="00D60288">
        <w:tc>
          <w:tcPr>
            <w:tcW w:w="355" w:type="dxa"/>
          </w:tcPr>
          <w:p w:rsidR="00F92A3C" w:rsidRDefault="00F92A3C" w:rsidP="00E87702">
            <w:r>
              <w:t>#</w:t>
            </w:r>
          </w:p>
        </w:tc>
        <w:tc>
          <w:tcPr>
            <w:tcW w:w="1440" w:type="dxa"/>
          </w:tcPr>
          <w:p w:rsidR="00F92A3C" w:rsidRDefault="00F92A3C" w:rsidP="00E87702">
            <w:r>
              <w:t>Page Title</w:t>
            </w:r>
          </w:p>
        </w:tc>
        <w:tc>
          <w:tcPr>
            <w:tcW w:w="6030" w:type="dxa"/>
          </w:tcPr>
          <w:p w:rsidR="00F92A3C" w:rsidRDefault="00F92A3C" w:rsidP="00E87702">
            <w:r>
              <w:t>Content</w:t>
            </w:r>
          </w:p>
        </w:tc>
        <w:tc>
          <w:tcPr>
            <w:tcW w:w="1525" w:type="dxa"/>
          </w:tcPr>
          <w:p w:rsidR="00F92A3C" w:rsidRDefault="00F92A3C" w:rsidP="00E87702">
            <w:r>
              <w:t>Instructions</w:t>
            </w:r>
          </w:p>
        </w:tc>
      </w:tr>
      <w:tr w:rsidR="00F92A3C" w:rsidTr="00D60288">
        <w:tc>
          <w:tcPr>
            <w:tcW w:w="355" w:type="dxa"/>
          </w:tcPr>
          <w:p w:rsidR="00F92A3C" w:rsidRDefault="00F92A3C" w:rsidP="00E87702">
            <w:r>
              <w:t>1</w:t>
            </w:r>
          </w:p>
        </w:tc>
        <w:tc>
          <w:tcPr>
            <w:tcW w:w="1440" w:type="dxa"/>
          </w:tcPr>
          <w:p w:rsidR="00F92A3C" w:rsidRPr="00F92A3C" w:rsidRDefault="00F92A3C" w:rsidP="00E87702">
            <w:pPr>
              <w:rPr>
                <w:b/>
                <w:sz w:val="28"/>
                <w:szCs w:val="28"/>
              </w:rPr>
            </w:pPr>
            <w:r>
              <w:rPr>
                <w:b/>
                <w:sz w:val="28"/>
                <w:szCs w:val="28"/>
              </w:rPr>
              <w:t>Main Menu</w:t>
            </w:r>
          </w:p>
        </w:tc>
        <w:tc>
          <w:tcPr>
            <w:tcW w:w="6030" w:type="dxa"/>
          </w:tcPr>
          <w:p w:rsidR="00F92A3C" w:rsidRPr="004914ED" w:rsidRDefault="00B50EEC" w:rsidP="00F92A3C">
            <w:pPr>
              <w:spacing w:before="100" w:beforeAutospacing="1" w:after="100" w:afterAutospacing="1"/>
              <w:outlineLvl w:val="1"/>
              <w:rPr>
                <w:rFonts w:asciiTheme="minorHAnsi" w:eastAsia="Times New Roman" w:hAnsiTheme="minorHAnsi"/>
                <w:bCs/>
              </w:rPr>
            </w:pPr>
            <w:r>
              <w:rPr>
                <w:rFonts w:asciiTheme="minorHAnsi" w:eastAsia="Times New Roman" w:hAnsiTheme="minorHAnsi"/>
                <w:bCs/>
              </w:rPr>
              <w:t xml:space="preserve">See screen design file: </w:t>
            </w:r>
            <w:r w:rsidRPr="00B50EEC">
              <w:rPr>
                <w:rFonts w:asciiTheme="minorHAnsi" w:eastAsia="Times New Roman" w:hAnsiTheme="minorHAnsi"/>
                <w:bCs/>
              </w:rPr>
              <w:t>GUI-code-mainmenu.png</w:t>
            </w:r>
          </w:p>
        </w:tc>
        <w:tc>
          <w:tcPr>
            <w:tcW w:w="1525" w:type="dxa"/>
          </w:tcPr>
          <w:p w:rsidR="00F92A3C" w:rsidRDefault="00B50EEC" w:rsidP="00A46B86">
            <w:r w:rsidRPr="004914ED">
              <w:rPr>
                <w:rFonts w:asciiTheme="minorHAnsi" w:eastAsia="Times New Roman" w:hAnsiTheme="minorHAnsi"/>
                <w:bCs/>
              </w:rPr>
              <w:t xml:space="preserve">Please use the </w:t>
            </w:r>
            <w:r w:rsidR="00A46B86">
              <w:rPr>
                <w:rFonts w:asciiTheme="minorHAnsi" w:eastAsia="Times New Roman" w:hAnsiTheme="minorHAnsi"/>
                <w:bCs/>
              </w:rPr>
              <w:t xml:space="preserve">included </w:t>
            </w:r>
            <w:proofErr w:type="spellStart"/>
            <w:r w:rsidR="00A46B86">
              <w:rPr>
                <w:rFonts w:asciiTheme="minorHAnsi" w:eastAsia="Times New Roman" w:hAnsiTheme="minorHAnsi"/>
                <w:bCs/>
              </w:rPr>
              <w:t>png</w:t>
            </w:r>
            <w:proofErr w:type="spellEnd"/>
            <w:r w:rsidRPr="004914ED">
              <w:rPr>
                <w:rFonts w:asciiTheme="minorHAnsi" w:eastAsia="Times New Roman" w:hAnsiTheme="minorHAnsi"/>
                <w:bCs/>
              </w:rPr>
              <w:t xml:space="preserve"> file</w:t>
            </w:r>
            <w:r w:rsidR="00A46B86">
              <w:rPr>
                <w:rFonts w:asciiTheme="minorHAnsi" w:eastAsia="Times New Roman" w:hAnsiTheme="minorHAnsi"/>
                <w:bCs/>
              </w:rPr>
              <w:t>s</w:t>
            </w:r>
            <w:r w:rsidRPr="004914ED">
              <w:rPr>
                <w:rFonts w:asciiTheme="minorHAnsi" w:eastAsia="Times New Roman" w:hAnsiTheme="minorHAnsi"/>
                <w:bCs/>
              </w:rPr>
              <w:t xml:space="preserve"> to build the main menu in HTML, CSS, and JavaScript.</w:t>
            </w:r>
          </w:p>
        </w:tc>
      </w:tr>
      <w:tr w:rsidR="00F92A3C" w:rsidTr="00D60288">
        <w:tc>
          <w:tcPr>
            <w:tcW w:w="355" w:type="dxa"/>
          </w:tcPr>
          <w:p w:rsidR="00F92A3C" w:rsidRPr="00F92A3C" w:rsidRDefault="00F92A3C" w:rsidP="00E87702">
            <w:r>
              <w:t>2</w:t>
            </w:r>
          </w:p>
        </w:tc>
        <w:tc>
          <w:tcPr>
            <w:tcW w:w="1440" w:type="dxa"/>
          </w:tcPr>
          <w:p w:rsidR="00F92A3C" w:rsidRPr="00F92A3C" w:rsidRDefault="00F92A3C" w:rsidP="00E87702">
            <w:pPr>
              <w:rPr>
                <w:b/>
                <w:sz w:val="28"/>
                <w:szCs w:val="28"/>
              </w:rPr>
            </w:pPr>
            <w:r w:rsidRPr="00F92A3C">
              <w:rPr>
                <w:b/>
                <w:sz w:val="28"/>
                <w:szCs w:val="28"/>
              </w:rPr>
              <w:t>Other Income Sources</w:t>
            </w:r>
          </w:p>
        </w:tc>
        <w:tc>
          <w:tcPr>
            <w:tcW w:w="6030" w:type="dxa"/>
          </w:tcPr>
          <w:p w:rsidR="00F92A3C" w:rsidRPr="00F92A3C" w:rsidRDefault="00F92A3C" w:rsidP="00F92A3C">
            <w:pPr>
              <w:spacing w:before="100" w:beforeAutospacing="1" w:after="100" w:afterAutospacing="1"/>
              <w:outlineLvl w:val="1"/>
              <w:rPr>
                <w:rFonts w:asciiTheme="minorHAnsi" w:eastAsia="Times New Roman" w:hAnsiTheme="minorHAnsi"/>
                <w:b/>
                <w:bCs/>
              </w:rPr>
            </w:pPr>
            <w:r w:rsidRPr="00F92A3C">
              <w:rPr>
                <w:rFonts w:asciiTheme="minorHAnsi" w:eastAsia="Times New Roman" w:hAnsiTheme="minorHAnsi"/>
                <w:b/>
                <w:bCs/>
              </w:rPr>
              <w:t>Employed Under Contract</w:t>
            </w:r>
          </w:p>
          <w:p w:rsidR="00F92A3C" w:rsidRPr="00F92A3C" w:rsidRDefault="00F92A3C" w:rsidP="00F92A3C">
            <w:pPr>
              <w:spacing w:before="100" w:beforeAutospacing="1" w:after="100" w:afterAutospacing="1"/>
              <w:rPr>
                <w:rFonts w:asciiTheme="minorHAnsi" w:eastAsia="Times New Roman" w:hAnsiTheme="minorHAnsi"/>
              </w:rPr>
            </w:pPr>
            <w:r w:rsidRPr="00F92A3C">
              <w:rPr>
                <w:rFonts w:asciiTheme="minorHAnsi" w:eastAsia="Times New Roman" w:hAnsiTheme="minorHAnsi"/>
              </w:rPr>
              <w:t xml:space="preserve">If a client is employed under a contract, determine the time period the contract is intended to cover, and divide the total payment by that </w:t>
            </w:r>
            <w:proofErr w:type="gramStart"/>
            <w:r w:rsidRPr="00F92A3C">
              <w:rPr>
                <w:rFonts w:asciiTheme="minorHAnsi" w:eastAsia="Times New Roman" w:hAnsiTheme="minorHAnsi"/>
              </w:rPr>
              <w:t>number of weeks or months, then calculate</w:t>
            </w:r>
            <w:proofErr w:type="gramEnd"/>
            <w:r w:rsidRPr="00F92A3C">
              <w:rPr>
                <w:rFonts w:asciiTheme="minorHAnsi" w:eastAsia="Times New Roman" w:hAnsiTheme="minorHAnsi"/>
              </w:rPr>
              <w:t xml:space="preserve"> as appropriate. </w:t>
            </w:r>
          </w:p>
          <w:p w:rsidR="00F92A3C" w:rsidRPr="00F92A3C" w:rsidRDefault="00F92A3C" w:rsidP="00F92A3C">
            <w:pPr>
              <w:spacing w:before="100" w:beforeAutospacing="1" w:after="100" w:afterAutospacing="1"/>
              <w:outlineLvl w:val="1"/>
              <w:rPr>
                <w:rFonts w:asciiTheme="minorHAnsi" w:eastAsia="Times New Roman" w:hAnsiTheme="minorHAnsi"/>
                <w:b/>
                <w:bCs/>
              </w:rPr>
            </w:pPr>
            <w:r w:rsidRPr="00F92A3C">
              <w:rPr>
                <w:rFonts w:asciiTheme="minorHAnsi" w:eastAsia="Times New Roman" w:hAnsiTheme="minorHAnsi"/>
                <w:b/>
                <w:bCs/>
              </w:rPr>
              <w:t>Lump Sums</w:t>
            </w:r>
          </w:p>
          <w:p w:rsidR="00F92A3C" w:rsidRPr="00F92A3C" w:rsidRDefault="00F92A3C" w:rsidP="00F92A3C">
            <w:pPr>
              <w:spacing w:before="100" w:beforeAutospacing="1" w:after="100" w:afterAutospacing="1"/>
              <w:rPr>
                <w:rFonts w:asciiTheme="minorHAnsi" w:eastAsia="Times New Roman" w:hAnsiTheme="minorHAnsi"/>
              </w:rPr>
            </w:pPr>
            <w:r w:rsidRPr="00F92A3C">
              <w:rPr>
                <w:rFonts w:asciiTheme="minorHAnsi" w:eastAsia="Times New Roman" w:hAnsiTheme="minorHAnsi"/>
              </w:rPr>
              <w:t>Retroactive lump sums which can be prorated over a specific time period, such as for SSI, Social Security, or Railroad Retirement, are considered income for HEAP purposes.</w:t>
            </w:r>
          </w:p>
          <w:p w:rsidR="00F92A3C" w:rsidRPr="00F92A3C" w:rsidRDefault="00F92A3C" w:rsidP="00F92A3C">
            <w:pPr>
              <w:spacing w:before="100" w:beforeAutospacing="1" w:after="100" w:afterAutospacing="1"/>
              <w:rPr>
                <w:rFonts w:asciiTheme="minorHAnsi" w:eastAsia="Times New Roman" w:hAnsiTheme="minorHAnsi"/>
              </w:rPr>
            </w:pPr>
            <w:r w:rsidRPr="00F92A3C">
              <w:rPr>
                <w:rFonts w:asciiTheme="minorHAnsi" w:eastAsia="Times New Roman" w:hAnsiTheme="minorHAnsi"/>
              </w:rPr>
              <w:t>Non-recurring lump sum payments that are not for a specific period of time, such as a one-time sale of property, insurance settlements, Christmas bonuses, and income tax refunds are not considered income for HEAP purposes.</w:t>
            </w:r>
          </w:p>
          <w:p w:rsidR="00F92A3C" w:rsidRPr="00F92A3C" w:rsidRDefault="00F92A3C" w:rsidP="00F92A3C">
            <w:pPr>
              <w:spacing w:before="100" w:beforeAutospacing="1" w:after="100" w:afterAutospacing="1"/>
              <w:outlineLvl w:val="1"/>
              <w:rPr>
                <w:rFonts w:asciiTheme="minorHAnsi" w:eastAsia="Times New Roman" w:hAnsiTheme="minorHAnsi"/>
                <w:b/>
                <w:bCs/>
              </w:rPr>
            </w:pPr>
            <w:r w:rsidRPr="00F92A3C">
              <w:rPr>
                <w:rFonts w:asciiTheme="minorHAnsi" w:eastAsia="Times New Roman" w:hAnsiTheme="minorHAnsi"/>
                <w:b/>
                <w:bCs/>
              </w:rPr>
              <w:t>Dividends and Interest</w:t>
            </w:r>
          </w:p>
          <w:p w:rsidR="00F92A3C" w:rsidRPr="00F92A3C" w:rsidRDefault="00F92A3C" w:rsidP="00F92A3C">
            <w:pPr>
              <w:spacing w:before="100" w:beforeAutospacing="1" w:after="100" w:afterAutospacing="1"/>
              <w:rPr>
                <w:rFonts w:asciiTheme="minorHAnsi" w:eastAsia="Times New Roman" w:hAnsiTheme="minorHAnsi"/>
              </w:rPr>
            </w:pPr>
            <w:r w:rsidRPr="00F92A3C">
              <w:rPr>
                <w:rFonts w:asciiTheme="minorHAnsi" w:eastAsia="Times New Roman" w:hAnsiTheme="minorHAnsi"/>
              </w:rPr>
              <w:t>Use a current statement to determine the monthly amount of any dividend or interest payment. Sometimes an annual statement or a quarterly statement covering three months must be used.</w:t>
            </w:r>
          </w:p>
          <w:p w:rsidR="00F92A3C" w:rsidRPr="00F92A3C" w:rsidRDefault="00F92A3C" w:rsidP="00F92A3C">
            <w:pPr>
              <w:spacing w:before="100" w:beforeAutospacing="1" w:after="100" w:afterAutospacing="1"/>
              <w:outlineLvl w:val="1"/>
              <w:rPr>
                <w:rFonts w:asciiTheme="minorHAnsi" w:eastAsia="Times New Roman" w:hAnsiTheme="minorHAnsi"/>
                <w:b/>
                <w:bCs/>
              </w:rPr>
            </w:pPr>
            <w:r w:rsidRPr="00F92A3C">
              <w:rPr>
                <w:rFonts w:asciiTheme="minorHAnsi" w:eastAsia="Times New Roman" w:hAnsiTheme="minorHAnsi"/>
                <w:b/>
                <w:bCs/>
              </w:rPr>
              <w:t>IRA Income</w:t>
            </w:r>
          </w:p>
          <w:p w:rsidR="00F92A3C" w:rsidRPr="00F92A3C" w:rsidRDefault="00F92A3C" w:rsidP="00F92A3C">
            <w:pPr>
              <w:spacing w:before="100" w:beforeAutospacing="1" w:after="100" w:afterAutospacing="1"/>
              <w:rPr>
                <w:rFonts w:asciiTheme="minorHAnsi" w:eastAsia="Times New Roman" w:hAnsiTheme="minorHAnsi"/>
              </w:rPr>
            </w:pPr>
            <w:r w:rsidRPr="00F92A3C">
              <w:rPr>
                <w:rFonts w:asciiTheme="minorHAnsi" w:eastAsia="Times New Roman" w:hAnsiTheme="minorHAnsi"/>
              </w:rPr>
              <w:t xml:space="preserve">Use as </w:t>
            </w:r>
            <w:r w:rsidRPr="004914ED">
              <w:rPr>
                <w:rFonts w:asciiTheme="minorHAnsi" w:eastAsia="Times New Roman" w:hAnsiTheme="minorHAnsi"/>
                <w:i/>
                <w:iCs/>
              </w:rPr>
              <w:t>income</w:t>
            </w:r>
            <w:r w:rsidRPr="00F92A3C">
              <w:rPr>
                <w:rFonts w:asciiTheme="minorHAnsi" w:eastAsia="Times New Roman" w:hAnsiTheme="minorHAnsi"/>
              </w:rPr>
              <w:t xml:space="preserve"> if the IRA is mature and the individual is or should be drawing from it. This includes instances where taking a mandatory withdrawal is </w:t>
            </w:r>
            <w:r w:rsidRPr="004914ED">
              <w:rPr>
                <w:rFonts w:asciiTheme="minorHAnsi" w:eastAsia="Times New Roman" w:hAnsiTheme="minorHAnsi"/>
                <w:i/>
                <w:iCs/>
              </w:rPr>
              <w:t>optional</w:t>
            </w:r>
            <w:r w:rsidRPr="00F92A3C">
              <w:rPr>
                <w:rFonts w:asciiTheme="minorHAnsi" w:eastAsia="Times New Roman" w:hAnsiTheme="minorHAnsi"/>
              </w:rPr>
              <w:t>.</w:t>
            </w:r>
          </w:p>
          <w:p w:rsidR="00F92A3C" w:rsidRPr="004914ED" w:rsidRDefault="00F92A3C" w:rsidP="00F92A3C">
            <w:pPr>
              <w:rPr>
                <w:rFonts w:asciiTheme="minorHAnsi" w:eastAsia="Times New Roman" w:hAnsiTheme="minorHAnsi"/>
              </w:rPr>
            </w:pPr>
            <w:r w:rsidRPr="004914ED">
              <w:rPr>
                <w:rFonts w:asciiTheme="minorHAnsi" w:eastAsia="Times New Roman" w:hAnsiTheme="minorHAnsi"/>
              </w:rPr>
              <w:t xml:space="preserve">NOTE: </w:t>
            </w:r>
            <w:r w:rsidRPr="00F92A3C">
              <w:rPr>
                <w:rFonts w:asciiTheme="minorHAnsi" w:eastAsia="Times New Roman" w:hAnsiTheme="minorHAnsi"/>
              </w:rPr>
              <w:t xml:space="preserve">If the IRA is not mature, it is not counted as income, but </w:t>
            </w:r>
            <w:r w:rsidRPr="004914ED">
              <w:rPr>
                <w:rFonts w:asciiTheme="minorHAnsi" w:eastAsia="Times New Roman" w:hAnsiTheme="minorHAnsi"/>
                <w:i/>
                <w:iCs/>
              </w:rPr>
              <w:t>would be</w:t>
            </w:r>
            <w:r w:rsidRPr="00F92A3C">
              <w:rPr>
                <w:rFonts w:asciiTheme="minorHAnsi" w:eastAsia="Times New Roman" w:hAnsiTheme="minorHAnsi"/>
              </w:rPr>
              <w:t xml:space="preserve"> considered a resource for Emergency HEAP applicants.</w:t>
            </w:r>
          </w:p>
          <w:p w:rsidR="00F92A3C" w:rsidRPr="004914ED" w:rsidRDefault="00F92A3C" w:rsidP="00F92A3C">
            <w:pPr>
              <w:rPr>
                <w:rFonts w:asciiTheme="minorHAnsi" w:eastAsia="Times New Roman" w:hAnsiTheme="minorHAnsi"/>
              </w:rPr>
            </w:pPr>
          </w:p>
          <w:p w:rsidR="00F92A3C" w:rsidRPr="004914ED" w:rsidRDefault="00F92A3C" w:rsidP="00F92A3C">
            <w:pPr>
              <w:rPr>
                <w:rFonts w:asciiTheme="minorHAnsi" w:eastAsia="Times New Roman" w:hAnsiTheme="minorHAnsi"/>
                <w:b/>
              </w:rPr>
            </w:pPr>
            <w:r w:rsidRPr="004914ED">
              <w:rPr>
                <w:rFonts w:asciiTheme="minorHAnsi" w:eastAsia="Times New Roman" w:hAnsiTheme="minorHAnsi"/>
                <w:b/>
              </w:rPr>
              <w:t>Income Received by Children / Student Income</w:t>
            </w:r>
          </w:p>
          <w:p w:rsidR="00F92A3C" w:rsidRPr="004914ED" w:rsidRDefault="00F92A3C" w:rsidP="00F92A3C">
            <w:pPr>
              <w:rPr>
                <w:rFonts w:asciiTheme="minorHAnsi" w:eastAsia="Times New Roman" w:hAnsiTheme="minorHAnsi"/>
              </w:rPr>
            </w:pPr>
          </w:p>
          <w:p w:rsidR="00F92A3C" w:rsidRPr="004914ED" w:rsidRDefault="00F92A3C" w:rsidP="00F92A3C">
            <w:pPr>
              <w:rPr>
                <w:rFonts w:asciiTheme="minorHAnsi" w:eastAsia="Times New Roman" w:hAnsiTheme="minorHAnsi"/>
              </w:rPr>
            </w:pPr>
            <w:r w:rsidRPr="004914ED">
              <w:rPr>
                <w:rFonts w:asciiTheme="minorHAnsi" w:eastAsia="Times New Roman" w:hAnsiTheme="minorHAnsi"/>
              </w:rPr>
              <w:lastRenderedPageBreak/>
              <w:t>Earned Income of dependent minors under 18 years old is exempt. Earned Income of full-time dependent students, student grants, loans, and scholarships, are all exempt.</w:t>
            </w:r>
          </w:p>
          <w:p w:rsidR="00D03AB2" w:rsidRDefault="00D03AB2" w:rsidP="00F92A3C">
            <w:pPr>
              <w:rPr>
                <w:rFonts w:asciiTheme="minorHAnsi" w:eastAsia="Times New Roman" w:hAnsiTheme="minorHAnsi"/>
              </w:rPr>
            </w:pPr>
          </w:p>
          <w:p w:rsidR="00F92A3C" w:rsidRPr="00D03AB2" w:rsidRDefault="00F92A3C" w:rsidP="00F92A3C">
            <w:pPr>
              <w:rPr>
                <w:rFonts w:asciiTheme="minorHAnsi" w:eastAsia="Times New Roman" w:hAnsiTheme="minorHAnsi"/>
                <w:b/>
              </w:rPr>
            </w:pPr>
            <w:r w:rsidRPr="00D03AB2">
              <w:rPr>
                <w:rFonts w:asciiTheme="minorHAnsi" w:eastAsia="Times New Roman" w:hAnsiTheme="minorHAnsi"/>
                <w:b/>
              </w:rPr>
              <w:t>Strikers</w:t>
            </w:r>
          </w:p>
          <w:p w:rsidR="00F92A3C" w:rsidRPr="004914ED" w:rsidRDefault="00F92A3C" w:rsidP="00F92A3C">
            <w:pPr>
              <w:rPr>
                <w:rFonts w:asciiTheme="minorHAnsi" w:eastAsia="Times New Roman" w:hAnsiTheme="minorHAnsi"/>
              </w:rPr>
            </w:pPr>
          </w:p>
          <w:p w:rsidR="00F92A3C" w:rsidRPr="00D03AB2" w:rsidRDefault="00F92A3C" w:rsidP="00F92A3C">
            <w:pPr>
              <w:rPr>
                <w:rFonts w:asciiTheme="minorHAnsi" w:eastAsia="Times New Roman" w:hAnsiTheme="minorHAnsi"/>
              </w:rPr>
            </w:pPr>
            <w:r w:rsidRPr="00D03AB2">
              <w:rPr>
                <w:rFonts w:asciiTheme="minorHAnsi" w:eastAsia="Times New Roman" w:hAnsiTheme="minorHAnsi"/>
              </w:rPr>
              <w:t>Count the current income of anyone on strike.</w:t>
            </w:r>
          </w:p>
          <w:p w:rsidR="00D03AB2" w:rsidRDefault="00D03AB2" w:rsidP="00F92A3C">
            <w:pPr>
              <w:rPr>
                <w:rFonts w:asciiTheme="minorHAnsi" w:eastAsia="Times New Roman" w:hAnsiTheme="minorHAnsi"/>
                <w:b/>
              </w:rPr>
            </w:pPr>
          </w:p>
          <w:p w:rsidR="00F92A3C" w:rsidRPr="004914ED" w:rsidRDefault="00F92A3C" w:rsidP="00F92A3C">
            <w:pPr>
              <w:rPr>
                <w:rFonts w:asciiTheme="minorHAnsi" w:eastAsia="Times New Roman" w:hAnsiTheme="minorHAnsi"/>
                <w:b/>
              </w:rPr>
            </w:pPr>
            <w:r w:rsidRPr="004914ED">
              <w:rPr>
                <w:rFonts w:asciiTheme="minorHAnsi" w:eastAsia="Times New Roman" w:hAnsiTheme="minorHAnsi"/>
                <w:b/>
              </w:rPr>
              <w:t>Non-qualified Aliens Residing in Households with HEAP Applicants</w:t>
            </w:r>
          </w:p>
          <w:p w:rsidR="00F92A3C" w:rsidRPr="004914ED" w:rsidRDefault="00F92A3C" w:rsidP="00F92A3C">
            <w:pPr>
              <w:rPr>
                <w:rFonts w:asciiTheme="minorHAnsi" w:eastAsia="Times New Roman" w:hAnsiTheme="minorHAnsi"/>
              </w:rPr>
            </w:pPr>
          </w:p>
          <w:p w:rsidR="00F92A3C" w:rsidRPr="00F92A3C" w:rsidRDefault="00F92A3C" w:rsidP="00F92A3C">
            <w:pPr>
              <w:rPr>
                <w:rFonts w:asciiTheme="minorHAnsi" w:eastAsia="Times New Roman" w:hAnsiTheme="minorHAnsi"/>
              </w:rPr>
            </w:pPr>
            <w:r w:rsidRPr="004914ED">
              <w:rPr>
                <w:rFonts w:asciiTheme="minorHAnsi" w:eastAsia="Times New Roman" w:hAnsiTheme="minorHAnsi"/>
              </w:rPr>
              <w:t>Income of non-qualified aliens is counted when determining eligibility and income tier.</w:t>
            </w:r>
          </w:p>
          <w:p w:rsidR="00F92A3C" w:rsidRPr="004914ED" w:rsidRDefault="00F92A3C" w:rsidP="00F92A3C">
            <w:pPr>
              <w:rPr>
                <w:rFonts w:asciiTheme="minorHAnsi" w:hAnsiTheme="minorHAnsi"/>
                <w:b/>
              </w:rPr>
            </w:pPr>
          </w:p>
        </w:tc>
        <w:tc>
          <w:tcPr>
            <w:tcW w:w="1525" w:type="dxa"/>
          </w:tcPr>
          <w:p w:rsidR="00F92A3C" w:rsidRDefault="00F92A3C" w:rsidP="00E87702"/>
        </w:tc>
      </w:tr>
      <w:tr w:rsidR="00F92A3C" w:rsidTr="00D60288">
        <w:tc>
          <w:tcPr>
            <w:tcW w:w="355" w:type="dxa"/>
          </w:tcPr>
          <w:p w:rsidR="00F92A3C" w:rsidRDefault="00D60288" w:rsidP="00E87702">
            <w:r>
              <w:lastRenderedPageBreak/>
              <w:t>3</w:t>
            </w:r>
          </w:p>
        </w:tc>
        <w:tc>
          <w:tcPr>
            <w:tcW w:w="1440" w:type="dxa"/>
          </w:tcPr>
          <w:p w:rsidR="00F92A3C" w:rsidRPr="008E6380" w:rsidRDefault="00F92A3C" w:rsidP="008E6380">
            <w:pPr>
              <w:rPr>
                <w:b/>
                <w:sz w:val="28"/>
                <w:szCs w:val="28"/>
              </w:rPr>
            </w:pPr>
            <w:r w:rsidRPr="008E6380">
              <w:rPr>
                <w:b/>
                <w:sz w:val="28"/>
                <w:szCs w:val="28"/>
              </w:rPr>
              <w:t xml:space="preserve">Activity: The </w:t>
            </w:r>
            <w:r w:rsidR="008E6380" w:rsidRPr="008E6380">
              <w:rPr>
                <w:b/>
                <w:sz w:val="28"/>
                <w:szCs w:val="28"/>
              </w:rPr>
              <w:t>Diaz Family</w:t>
            </w:r>
          </w:p>
        </w:tc>
        <w:tc>
          <w:tcPr>
            <w:tcW w:w="6030" w:type="dxa"/>
          </w:tcPr>
          <w:p w:rsidR="00F92A3C" w:rsidRDefault="008E6380" w:rsidP="00E87702">
            <w:r w:rsidRPr="008E6380">
              <w:t>Louise Diaz and her daughter, age 24, are applying for HEAP. Per an award letter, Ms. Diaz receives $761.00 monthly Code A SSI. Her daughter presents wage stubs indicating she works full time as a telemarketer earning $525 per week.</w:t>
            </w:r>
          </w:p>
          <w:p w:rsidR="008E6380" w:rsidRDefault="008E6380" w:rsidP="00E87702"/>
          <w:p w:rsidR="008E6380" w:rsidRPr="008E6380" w:rsidRDefault="008E6380" w:rsidP="00E87702">
            <w:pPr>
              <w:rPr>
                <w:b/>
              </w:rPr>
            </w:pPr>
            <w:r w:rsidRPr="008E6380">
              <w:rPr>
                <w:b/>
              </w:rPr>
              <w:t>What is the gross monthly income for this household?</w:t>
            </w:r>
          </w:p>
          <w:p w:rsidR="008E6380" w:rsidRDefault="008E6380" w:rsidP="00E87702">
            <w:r>
              <w:t>[</w:t>
            </w:r>
            <w:r w:rsidR="00BB33D4">
              <w:t>numeric</w:t>
            </w:r>
            <w:r>
              <w:t xml:space="preserve"> input]</w:t>
            </w:r>
          </w:p>
          <w:p w:rsidR="008E6380" w:rsidRDefault="008E6380" w:rsidP="00E87702"/>
          <w:p w:rsidR="008E6380" w:rsidRPr="008E6380" w:rsidRDefault="008E6380" w:rsidP="00E87702">
            <w:pPr>
              <w:rPr>
                <w:i/>
                <w:color w:val="1F4E79" w:themeColor="accent1" w:themeShade="80"/>
              </w:rPr>
            </w:pPr>
            <w:r w:rsidRPr="008E6380">
              <w:rPr>
                <w:i/>
                <w:color w:val="1F4E79" w:themeColor="accent1" w:themeShade="80"/>
              </w:rPr>
              <w:t>Text to display after user answer the question:</w:t>
            </w:r>
          </w:p>
          <w:p w:rsidR="00F92A3C" w:rsidRDefault="008E6380" w:rsidP="00E87702">
            <w:r>
              <w:t>The correct answer is</w:t>
            </w:r>
            <w:r w:rsidR="00BB33D4">
              <w:t xml:space="preserve"> $3,035</w:t>
            </w:r>
            <w:r>
              <w:t>.</w:t>
            </w:r>
            <w:r w:rsidR="00BB33D4">
              <w:t xml:space="preserve"> </w:t>
            </w:r>
            <w:r>
              <w:t>Because Ms. Diaz receives a monthly payment for Code A SSI, the Diaz household is categorically income eligible for HEAP. You should still calculate the family’s Gross Monthly Income, and then indicate the documentation supplied by the applicants. In this case, the daughter’s weekly wage is multiplied by 4.3333, and added to Ms. Diaz’s monthly payment.</w:t>
            </w:r>
            <w:r w:rsidR="00BB33D4">
              <w:t xml:space="preserve"> </w:t>
            </w:r>
            <w:r>
              <w:t>The Gross Monthly Income for the Diaz family is $3,035.</w:t>
            </w:r>
          </w:p>
        </w:tc>
        <w:tc>
          <w:tcPr>
            <w:tcW w:w="1525" w:type="dxa"/>
          </w:tcPr>
          <w:p w:rsidR="00F92A3C" w:rsidRDefault="00F92A3C" w:rsidP="008E6380">
            <w:r>
              <w:t xml:space="preserve">Please make this an activity. The correct answer is </w:t>
            </w:r>
            <w:r w:rsidR="00BB33D4">
              <w:t>$3,035</w:t>
            </w:r>
            <w:r>
              <w:t>.</w:t>
            </w:r>
          </w:p>
        </w:tc>
      </w:tr>
      <w:tr w:rsidR="00F92A3C" w:rsidTr="00D60288">
        <w:tc>
          <w:tcPr>
            <w:tcW w:w="355" w:type="dxa"/>
          </w:tcPr>
          <w:p w:rsidR="00F92A3C" w:rsidRDefault="00D60288" w:rsidP="00E87702">
            <w:r>
              <w:t>4</w:t>
            </w:r>
          </w:p>
        </w:tc>
        <w:tc>
          <w:tcPr>
            <w:tcW w:w="1440" w:type="dxa"/>
          </w:tcPr>
          <w:p w:rsidR="00A24387" w:rsidRPr="008E6380" w:rsidRDefault="008E6380" w:rsidP="00A24387">
            <w:pPr>
              <w:rPr>
                <w:b/>
                <w:sz w:val="28"/>
                <w:szCs w:val="28"/>
              </w:rPr>
            </w:pPr>
            <w:r w:rsidRPr="008E6380">
              <w:rPr>
                <w:b/>
                <w:sz w:val="28"/>
                <w:szCs w:val="28"/>
              </w:rPr>
              <w:t xml:space="preserve">Activity 2: </w:t>
            </w:r>
            <w:r w:rsidR="00A06C3F">
              <w:rPr>
                <w:b/>
                <w:sz w:val="28"/>
                <w:szCs w:val="28"/>
              </w:rPr>
              <w:t>Defining HEAP</w:t>
            </w:r>
          </w:p>
          <w:p w:rsidR="00F92A3C" w:rsidRPr="008E6380" w:rsidRDefault="00F92A3C" w:rsidP="00E87702">
            <w:pPr>
              <w:rPr>
                <w:b/>
                <w:sz w:val="28"/>
                <w:szCs w:val="28"/>
              </w:rPr>
            </w:pPr>
          </w:p>
        </w:tc>
        <w:tc>
          <w:tcPr>
            <w:tcW w:w="6030" w:type="dxa"/>
          </w:tcPr>
          <w:p w:rsidR="008E6380" w:rsidRDefault="00A06C3F" w:rsidP="008E6380">
            <w:r w:rsidRPr="00A06C3F">
              <w:t>HEAP provides financial assistance to low income individuals and families for home energy costs.</w:t>
            </w:r>
          </w:p>
          <w:p w:rsidR="008E6380" w:rsidRDefault="00A06C3F" w:rsidP="008E6380">
            <w:pPr>
              <w:rPr>
                <w:b/>
              </w:rPr>
            </w:pPr>
            <w:r>
              <w:rPr>
                <w:b/>
              </w:rPr>
              <w:t>Households may be eligible for HEAP depending on their:</w:t>
            </w:r>
          </w:p>
          <w:p w:rsidR="00D03AB2" w:rsidRPr="00D03AB2" w:rsidRDefault="00D03AB2" w:rsidP="008E6380">
            <w:pPr>
              <w:rPr>
                <w:i/>
              </w:rPr>
            </w:pPr>
            <w:r w:rsidRPr="00D03AB2">
              <w:rPr>
                <w:i/>
              </w:rPr>
              <w:t>Please check all that apply.</w:t>
            </w:r>
          </w:p>
          <w:p w:rsidR="00D03AB2" w:rsidRDefault="00A06C3F" w:rsidP="00D03AB2">
            <w:pPr>
              <w:pStyle w:val="ListParagraph"/>
              <w:numPr>
                <w:ilvl w:val="0"/>
                <w:numId w:val="5"/>
              </w:numPr>
            </w:pPr>
            <w:r>
              <w:t>Income</w:t>
            </w:r>
            <w:r w:rsidR="00D03AB2">
              <w:t xml:space="preserve"> (correct)</w:t>
            </w:r>
          </w:p>
          <w:p w:rsidR="00A06C3F" w:rsidRDefault="00A06C3F" w:rsidP="008E6380">
            <w:pPr>
              <w:pStyle w:val="ListParagraph"/>
              <w:numPr>
                <w:ilvl w:val="0"/>
                <w:numId w:val="5"/>
              </w:numPr>
            </w:pPr>
            <w:r>
              <w:t>Family Size</w:t>
            </w:r>
            <w:r w:rsidR="00D03AB2">
              <w:t xml:space="preserve"> (correct)</w:t>
            </w:r>
          </w:p>
          <w:p w:rsidR="00A06C3F" w:rsidRDefault="00A06C3F" w:rsidP="008E6380">
            <w:pPr>
              <w:pStyle w:val="ListParagraph"/>
              <w:numPr>
                <w:ilvl w:val="0"/>
                <w:numId w:val="5"/>
              </w:numPr>
            </w:pPr>
            <w:r>
              <w:t>Living Arrangement</w:t>
            </w:r>
            <w:r w:rsidR="00D03AB2">
              <w:t xml:space="preserve"> (correct)</w:t>
            </w:r>
          </w:p>
          <w:p w:rsidR="00A06C3F" w:rsidRDefault="00D03AB2" w:rsidP="008E6380">
            <w:pPr>
              <w:pStyle w:val="ListParagraph"/>
              <w:numPr>
                <w:ilvl w:val="0"/>
                <w:numId w:val="5"/>
              </w:numPr>
            </w:pPr>
            <w:r>
              <w:t>Average age</w:t>
            </w:r>
          </w:p>
          <w:p w:rsidR="00D03AB2" w:rsidRDefault="00D03AB2" w:rsidP="008E6380">
            <w:pPr>
              <w:pStyle w:val="ListParagraph"/>
              <w:numPr>
                <w:ilvl w:val="0"/>
                <w:numId w:val="5"/>
              </w:numPr>
            </w:pPr>
            <w:r>
              <w:t>Type of Heat (correct)</w:t>
            </w:r>
          </w:p>
          <w:p w:rsidR="00D03AB2" w:rsidRDefault="00D03AB2" w:rsidP="00D03AB2">
            <w:pPr>
              <w:pStyle w:val="ListParagraph"/>
              <w:numPr>
                <w:ilvl w:val="0"/>
                <w:numId w:val="5"/>
              </w:numPr>
            </w:pPr>
            <w:r>
              <w:t>Region</w:t>
            </w:r>
          </w:p>
          <w:p w:rsidR="008E6380" w:rsidRDefault="008E6380" w:rsidP="008E6380"/>
          <w:p w:rsidR="008E6380" w:rsidRPr="008E6380" w:rsidRDefault="008E6380" w:rsidP="008E6380">
            <w:pPr>
              <w:rPr>
                <w:i/>
                <w:color w:val="1F4E79" w:themeColor="accent1" w:themeShade="80"/>
              </w:rPr>
            </w:pPr>
            <w:r w:rsidRPr="008E6380">
              <w:rPr>
                <w:i/>
                <w:color w:val="1F4E79" w:themeColor="accent1" w:themeShade="80"/>
              </w:rPr>
              <w:t>Text to display after user answer the question:</w:t>
            </w:r>
          </w:p>
          <w:p w:rsidR="00D03AB2" w:rsidRDefault="00D03AB2" w:rsidP="00D03AB2">
            <w:r>
              <w:t>Basic HEAP benefits depend on a household’s:</w:t>
            </w:r>
          </w:p>
          <w:p w:rsidR="00D03AB2" w:rsidRDefault="00D03AB2" w:rsidP="00D03AB2">
            <w:pPr>
              <w:pStyle w:val="ListParagraph"/>
              <w:numPr>
                <w:ilvl w:val="0"/>
                <w:numId w:val="6"/>
              </w:numPr>
            </w:pPr>
            <w:r>
              <w:t>Income</w:t>
            </w:r>
          </w:p>
          <w:p w:rsidR="00D03AB2" w:rsidRDefault="00D03AB2" w:rsidP="00D03AB2">
            <w:pPr>
              <w:pStyle w:val="ListParagraph"/>
              <w:numPr>
                <w:ilvl w:val="0"/>
                <w:numId w:val="6"/>
              </w:numPr>
            </w:pPr>
            <w:r>
              <w:t>Family size</w:t>
            </w:r>
          </w:p>
          <w:p w:rsidR="00D03AB2" w:rsidRDefault="00D03AB2" w:rsidP="00D03AB2">
            <w:pPr>
              <w:pStyle w:val="ListParagraph"/>
              <w:numPr>
                <w:ilvl w:val="0"/>
                <w:numId w:val="6"/>
              </w:numPr>
            </w:pPr>
            <w:r>
              <w:lastRenderedPageBreak/>
              <w:t>Living arrangement</w:t>
            </w:r>
          </w:p>
          <w:p w:rsidR="008E6380" w:rsidRDefault="00D03AB2" w:rsidP="00D03AB2">
            <w:pPr>
              <w:pStyle w:val="ListParagraph"/>
              <w:numPr>
                <w:ilvl w:val="0"/>
                <w:numId w:val="6"/>
              </w:numPr>
            </w:pPr>
            <w:r>
              <w:t>Type of heat</w:t>
            </w:r>
          </w:p>
          <w:p w:rsidR="00D03AB2" w:rsidRDefault="00D03AB2" w:rsidP="00D03AB2">
            <w:r>
              <w:t>Average age and region have no bearing on a family’s eligibility.</w:t>
            </w:r>
          </w:p>
        </w:tc>
        <w:tc>
          <w:tcPr>
            <w:tcW w:w="1525" w:type="dxa"/>
          </w:tcPr>
          <w:p w:rsidR="00F92A3C" w:rsidRDefault="00F92A3C" w:rsidP="00D03AB2">
            <w:r>
              <w:lastRenderedPageBreak/>
              <w:t xml:space="preserve">Please make this an activity. </w:t>
            </w:r>
            <w:r w:rsidR="008E6380">
              <w:t xml:space="preserve">There </w:t>
            </w:r>
            <w:r w:rsidR="00D03AB2">
              <w:t>are multiple</w:t>
            </w:r>
            <w:r w:rsidR="008E6380">
              <w:t xml:space="preserve"> correct answer</w:t>
            </w:r>
            <w:r w:rsidR="00D03AB2">
              <w:t>s</w:t>
            </w:r>
            <w:r w:rsidR="008E6380">
              <w:t>.</w:t>
            </w:r>
          </w:p>
        </w:tc>
      </w:tr>
    </w:tbl>
    <w:p w:rsidR="00E87702" w:rsidRDefault="00E87702" w:rsidP="00E87702"/>
    <w:p w:rsidR="00E87702" w:rsidRDefault="00DB4573">
      <w:r>
        <w:t xml:space="preserve">Please contact Edward Skawinski at </w:t>
      </w:r>
      <w:hyperlink r:id="rId8" w:history="1">
        <w:r w:rsidRPr="00FA383F">
          <w:rPr>
            <w:rStyle w:val="Hyperlink"/>
          </w:rPr>
          <w:t>eskawinski@albany.edu</w:t>
        </w:r>
      </w:hyperlink>
      <w:r>
        <w:t xml:space="preserve"> if you have any questions.</w:t>
      </w:r>
    </w:p>
    <w:sectPr w:rsidR="00E87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C27A8"/>
    <w:multiLevelType w:val="hybridMultilevel"/>
    <w:tmpl w:val="40AE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5A0665"/>
    <w:multiLevelType w:val="hybridMultilevel"/>
    <w:tmpl w:val="03EE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A7AB5"/>
    <w:multiLevelType w:val="hybridMultilevel"/>
    <w:tmpl w:val="32042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436D12"/>
    <w:multiLevelType w:val="hybridMultilevel"/>
    <w:tmpl w:val="375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5049"/>
    <w:multiLevelType w:val="hybridMultilevel"/>
    <w:tmpl w:val="9FE2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CC4B63"/>
    <w:multiLevelType w:val="hybridMultilevel"/>
    <w:tmpl w:val="A91A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702"/>
    <w:rsid w:val="00146C08"/>
    <w:rsid w:val="001825D1"/>
    <w:rsid w:val="00196C27"/>
    <w:rsid w:val="001A06A3"/>
    <w:rsid w:val="001A71C3"/>
    <w:rsid w:val="002D19E5"/>
    <w:rsid w:val="003B059D"/>
    <w:rsid w:val="004914ED"/>
    <w:rsid w:val="00567E23"/>
    <w:rsid w:val="005A0389"/>
    <w:rsid w:val="00612ED1"/>
    <w:rsid w:val="00655EFB"/>
    <w:rsid w:val="006600FB"/>
    <w:rsid w:val="007C6208"/>
    <w:rsid w:val="008705E6"/>
    <w:rsid w:val="008E6380"/>
    <w:rsid w:val="00A06C3F"/>
    <w:rsid w:val="00A24387"/>
    <w:rsid w:val="00A46B86"/>
    <w:rsid w:val="00AA2E82"/>
    <w:rsid w:val="00AE469D"/>
    <w:rsid w:val="00AF7AEE"/>
    <w:rsid w:val="00B50EEC"/>
    <w:rsid w:val="00BA24D3"/>
    <w:rsid w:val="00BB33D4"/>
    <w:rsid w:val="00C478F1"/>
    <w:rsid w:val="00CA46CB"/>
    <w:rsid w:val="00D03AB2"/>
    <w:rsid w:val="00D30901"/>
    <w:rsid w:val="00D60288"/>
    <w:rsid w:val="00DB4573"/>
    <w:rsid w:val="00E87702"/>
    <w:rsid w:val="00ED60A0"/>
    <w:rsid w:val="00F92A3C"/>
    <w:rsid w:val="00FE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702"/>
    <w:pPr>
      <w:spacing w:after="0" w:line="240" w:lineRule="auto"/>
    </w:pPr>
    <w:rPr>
      <w:rFonts w:ascii="Calibri" w:hAnsi="Calibri" w:cs="Times New Roman"/>
    </w:rPr>
  </w:style>
  <w:style w:type="paragraph" w:styleId="Heading2">
    <w:name w:val="heading 2"/>
    <w:basedOn w:val="Normal"/>
    <w:link w:val="Heading2Char"/>
    <w:uiPriority w:val="9"/>
    <w:qFormat/>
    <w:rsid w:val="00F92A3C"/>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02"/>
    <w:pPr>
      <w:ind w:left="720"/>
      <w:contextualSpacing/>
    </w:pPr>
  </w:style>
  <w:style w:type="table" w:styleId="TableGrid">
    <w:name w:val="Table Grid"/>
    <w:basedOn w:val="TableNormal"/>
    <w:uiPriority w:val="39"/>
    <w:rsid w:val="00E87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2A3C"/>
    <w:pPr>
      <w:spacing w:before="100" w:beforeAutospacing="1" w:after="100" w:afterAutospacing="1"/>
    </w:pPr>
    <w:rPr>
      <w:rFonts w:ascii="Times New Roman" w:eastAsia="Times New Roman" w:hAnsi="Times New Roman"/>
      <w:sz w:val="24"/>
      <w:szCs w:val="24"/>
    </w:rPr>
  </w:style>
  <w:style w:type="character" w:styleId="Emphasis">
    <w:name w:val="Emphasis"/>
    <w:basedOn w:val="DefaultParagraphFont"/>
    <w:uiPriority w:val="20"/>
    <w:qFormat/>
    <w:rsid w:val="00F92A3C"/>
    <w:rPr>
      <w:i/>
      <w:iCs/>
    </w:rPr>
  </w:style>
  <w:style w:type="character" w:styleId="Hyperlink">
    <w:name w:val="Hyperlink"/>
    <w:basedOn w:val="DefaultParagraphFont"/>
    <w:uiPriority w:val="99"/>
    <w:unhideWhenUsed/>
    <w:rsid w:val="00DB4573"/>
    <w:rPr>
      <w:color w:val="0563C1" w:themeColor="hyperlink"/>
      <w:u w:val="single"/>
    </w:rPr>
  </w:style>
  <w:style w:type="paragraph" w:styleId="BalloonText">
    <w:name w:val="Balloon Text"/>
    <w:basedOn w:val="Normal"/>
    <w:link w:val="BalloonTextChar"/>
    <w:uiPriority w:val="99"/>
    <w:semiHidden/>
    <w:unhideWhenUsed/>
    <w:rsid w:val="00567E23"/>
    <w:rPr>
      <w:rFonts w:ascii="Tahoma" w:hAnsi="Tahoma" w:cs="Tahoma"/>
      <w:sz w:val="16"/>
      <w:szCs w:val="16"/>
    </w:rPr>
  </w:style>
  <w:style w:type="character" w:customStyle="1" w:styleId="BalloonTextChar">
    <w:name w:val="Balloon Text Char"/>
    <w:basedOn w:val="DefaultParagraphFont"/>
    <w:link w:val="BalloonText"/>
    <w:uiPriority w:val="99"/>
    <w:semiHidden/>
    <w:rsid w:val="00567E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702"/>
    <w:pPr>
      <w:spacing w:after="0" w:line="240" w:lineRule="auto"/>
    </w:pPr>
    <w:rPr>
      <w:rFonts w:ascii="Calibri" w:hAnsi="Calibri" w:cs="Times New Roman"/>
    </w:rPr>
  </w:style>
  <w:style w:type="paragraph" w:styleId="Heading2">
    <w:name w:val="heading 2"/>
    <w:basedOn w:val="Normal"/>
    <w:link w:val="Heading2Char"/>
    <w:uiPriority w:val="9"/>
    <w:qFormat/>
    <w:rsid w:val="00F92A3C"/>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02"/>
    <w:pPr>
      <w:ind w:left="720"/>
      <w:contextualSpacing/>
    </w:pPr>
  </w:style>
  <w:style w:type="table" w:styleId="TableGrid">
    <w:name w:val="Table Grid"/>
    <w:basedOn w:val="TableNormal"/>
    <w:uiPriority w:val="39"/>
    <w:rsid w:val="00E87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2A3C"/>
    <w:pPr>
      <w:spacing w:before="100" w:beforeAutospacing="1" w:after="100" w:afterAutospacing="1"/>
    </w:pPr>
    <w:rPr>
      <w:rFonts w:ascii="Times New Roman" w:eastAsia="Times New Roman" w:hAnsi="Times New Roman"/>
      <w:sz w:val="24"/>
      <w:szCs w:val="24"/>
    </w:rPr>
  </w:style>
  <w:style w:type="character" w:styleId="Emphasis">
    <w:name w:val="Emphasis"/>
    <w:basedOn w:val="DefaultParagraphFont"/>
    <w:uiPriority w:val="20"/>
    <w:qFormat/>
    <w:rsid w:val="00F92A3C"/>
    <w:rPr>
      <w:i/>
      <w:iCs/>
    </w:rPr>
  </w:style>
  <w:style w:type="character" w:styleId="Hyperlink">
    <w:name w:val="Hyperlink"/>
    <w:basedOn w:val="DefaultParagraphFont"/>
    <w:uiPriority w:val="99"/>
    <w:unhideWhenUsed/>
    <w:rsid w:val="00DB4573"/>
    <w:rPr>
      <w:color w:val="0563C1" w:themeColor="hyperlink"/>
      <w:u w:val="single"/>
    </w:rPr>
  </w:style>
  <w:style w:type="paragraph" w:styleId="BalloonText">
    <w:name w:val="Balloon Text"/>
    <w:basedOn w:val="Normal"/>
    <w:link w:val="BalloonTextChar"/>
    <w:uiPriority w:val="99"/>
    <w:semiHidden/>
    <w:unhideWhenUsed/>
    <w:rsid w:val="00567E23"/>
    <w:rPr>
      <w:rFonts w:ascii="Tahoma" w:hAnsi="Tahoma" w:cs="Tahoma"/>
      <w:sz w:val="16"/>
      <w:szCs w:val="16"/>
    </w:rPr>
  </w:style>
  <w:style w:type="character" w:customStyle="1" w:styleId="BalloonTextChar">
    <w:name w:val="Balloon Text Char"/>
    <w:basedOn w:val="DefaultParagraphFont"/>
    <w:link w:val="BalloonText"/>
    <w:uiPriority w:val="99"/>
    <w:semiHidden/>
    <w:rsid w:val="00567E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7409">
      <w:bodyDiv w:val="1"/>
      <w:marLeft w:val="0"/>
      <w:marRight w:val="0"/>
      <w:marTop w:val="0"/>
      <w:marBottom w:val="0"/>
      <w:divBdr>
        <w:top w:val="none" w:sz="0" w:space="0" w:color="auto"/>
        <w:left w:val="none" w:sz="0" w:space="0" w:color="auto"/>
        <w:bottom w:val="none" w:sz="0" w:space="0" w:color="auto"/>
        <w:right w:val="none" w:sz="0" w:space="0" w:color="auto"/>
      </w:divBdr>
    </w:div>
    <w:div w:id="484250372">
      <w:bodyDiv w:val="1"/>
      <w:marLeft w:val="0"/>
      <w:marRight w:val="0"/>
      <w:marTop w:val="0"/>
      <w:marBottom w:val="0"/>
      <w:divBdr>
        <w:top w:val="none" w:sz="0" w:space="0" w:color="auto"/>
        <w:left w:val="none" w:sz="0" w:space="0" w:color="auto"/>
        <w:bottom w:val="none" w:sz="0" w:space="0" w:color="auto"/>
        <w:right w:val="none" w:sz="0" w:space="0" w:color="auto"/>
      </w:divBdr>
    </w:div>
    <w:div w:id="638532100">
      <w:bodyDiv w:val="1"/>
      <w:marLeft w:val="0"/>
      <w:marRight w:val="0"/>
      <w:marTop w:val="0"/>
      <w:marBottom w:val="0"/>
      <w:divBdr>
        <w:top w:val="none" w:sz="0" w:space="0" w:color="auto"/>
        <w:left w:val="none" w:sz="0" w:space="0" w:color="auto"/>
        <w:bottom w:val="none" w:sz="0" w:space="0" w:color="auto"/>
        <w:right w:val="none" w:sz="0" w:space="0" w:color="auto"/>
      </w:divBdr>
    </w:div>
    <w:div w:id="719980707">
      <w:bodyDiv w:val="1"/>
      <w:marLeft w:val="0"/>
      <w:marRight w:val="0"/>
      <w:marTop w:val="0"/>
      <w:marBottom w:val="0"/>
      <w:divBdr>
        <w:top w:val="none" w:sz="0" w:space="0" w:color="auto"/>
        <w:left w:val="none" w:sz="0" w:space="0" w:color="auto"/>
        <w:bottom w:val="none" w:sz="0" w:space="0" w:color="auto"/>
        <w:right w:val="none" w:sz="0" w:space="0" w:color="auto"/>
      </w:divBdr>
    </w:div>
    <w:div w:id="887377826">
      <w:bodyDiv w:val="1"/>
      <w:marLeft w:val="0"/>
      <w:marRight w:val="0"/>
      <w:marTop w:val="0"/>
      <w:marBottom w:val="0"/>
      <w:divBdr>
        <w:top w:val="none" w:sz="0" w:space="0" w:color="auto"/>
        <w:left w:val="none" w:sz="0" w:space="0" w:color="auto"/>
        <w:bottom w:val="none" w:sz="0" w:space="0" w:color="auto"/>
        <w:right w:val="none" w:sz="0" w:space="0" w:color="auto"/>
      </w:divBdr>
    </w:div>
    <w:div w:id="1014307031">
      <w:bodyDiv w:val="1"/>
      <w:marLeft w:val="0"/>
      <w:marRight w:val="0"/>
      <w:marTop w:val="0"/>
      <w:marBottom w:val="0"/>
      <w:divBdr>
        <w:top w:val="none" w:sz="0" w:space="0" w:color="auto"/>
        <w:left w:val="none" w:sz="0" w:space="0" w:color="auto"/>
        <w:bottom w:val="none" w:sz="0" w:space="0" w:color="auto"/>
        <w:right w:val="none" w:sz="0" w:space="0" w:color="auto"/>
      </w:divBdr>
    </w:div>
    <w:div w:id="1021735790">
      <w:bodyDiv w:val="1"/>
      <w:marLeft w:val="0"/>
      <w:marRight w:val="0"/>
      <w:marTop w:val="0"/>
      <w:marBottom w:val="0"/>
      <w:divBdr>
        <w:top w:val="none" w:sz="0" w:space="0" w:color="auto"/>
        <w:left w:val="none" w:sz="0" w:space="0" w:color="auto"/>
        <w:bottom w:val="none" w:sz="0" w:space="0" w:color="auto"/>
        <w:right w:val="none" w:sz="0" w:space="0" w:color="auto"/>
      </w:divBdr>
    </w:div>
    <w:div w:id="1114443285">
      <w:bodyDiv w:val="1"/>
      <w:marLeft w:val="0"/>
      <w:marRight w:val="0"/>
      <w:marTop w:val="0"/>
      <w:marBottom w:val="0"/>
      <w:divBdr>
        <w:top w:val="none" w:sz="0" w:space="0" w:color="auto"/>
        <w:left w:val="none" w:sz="0" w:space="0" w:color="auto"/>
        <w:bottom w:val="none" w:sz="0" w:space="0" w:color="auto"/>
        <w:right w:val="none" w:sz="0" w:space="0" w:color="auto"/>
      </w:divBdr>
    </w:div>
    <w:div w:id="1178695803">
      <w:bodyDiv w:val="1"/>
      <w:marLeft w:val="0"/>
      <w:marRight w:val="0"/>
      <w:marTop w:val="0"/>
      <w:marBottom w:val="0"/>
      <w:divBdr>
        <w:top w:val="none" w:sz="0" w:space="0" w:color="auto"/>
        <w:left w:val="none" w:sz="0" w:space="0" w:color="auto"/>
        <w:bottom w:val="none" w:sz="0" w:space="0" w:color="auto"/>
        <w:right w:val="none" w:sz="0" w:space="0" w:color="auto"/>
      </w:divBdr>
      <w:divsChild>
        <w:div w:id="68574957">
          <w:marLeft w:val="0"/>
          <w:marRight w:val="0"/>
          <w:marTop w:val="0"/>
          <w:marBottom w:val="0"/>
          <w:divBdr>
            <w:top w:val="none" w:sz="0" w:space="0" w:color="auto"/>
            <w:left w:val="none" w:sz="0" w:space="0" w:color="auto"/>
            <w:bottom w:val="none" w:sz="0" w:space="0" w:color="auto"/>
            <w:right w:val="none" w:sz="0" w:space="0" w:color="auto"/>
          </w:divBdr>
        </w:div>
      </w:divsChild>
    </w:div>
    <w:div w:id="1526406320">
      <w:bodyDiv w:val="1"/>
      <w:marLeft w:val="0"/>
      <w:marRight w:val="0"/>
      <w:marTop w:val="0"/>
      <w:marBottom w:val="0"/>
      <w:divBdr>
        <w:top w:val="none" w:sz="0" w:space="0" w:color="auto"/>
        <w:left w:val="none" w:sz="0" w:space="0" w:color="auto"/>
        <w:bottom w:val="none" w:sz="0" w:space="0" w:color="auto"/>
        <w:right w:val="none" w:sz="0" w:space="0" w:color="auto"/>
      </w:divBdr>
    </w:div>
    <w:div w:id="1569456880">
      <w:bodyDiv w:val="1"/>
      <w:marLeft w:val="0"/>
      <w:marRight w:val="0"/>
      <w:marTop w:val="0"/>
      <w:marBottom w:val="0"/>
      <w:divBdr>
        <w:top w:val="none" w:sz="0" w:space="0" w:color="auto"/>
        <w:left w:val="none" w:sz="0" w:space="0" w:color="auto"/>
        <w:bottom w:val="none" w:sz="0" w:space="0" w:color="auto"/>
        <w:right w:val="none" w:sz="0" w:space="0" w:color="auto"/>
      </w:divBdr>
    </w:div>
    <w:div w:id="1948123370">
      <w:bodyDiv w:val="1"/>
      <w:marLeft w:val="0"/>
      <w:marRight w:val="0"/>
      <w:marTop w:val="0"/>
      <w:marBottom w:val="0"/>
      <w:divBdr>
        <w:top w:val="none" w:sz="0" w:space="0" w:color="auto"/>
        <w:left w:val="none" w:sz="0" w:space="0" w:color="auto"/>
        <w:bottom w:val="none" w:sz="0" w:space="0" w:color="auto"/>
        <w:right w:val="none" w:sz="0" w:space="0" w:color="auto"/>
      </w:divBdr>
    </w:div>
    <w:div w:id="202797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kawinski@albany.edu" TargetMode="External"/><Relationship Id="rId3" Type="http://schemas.microsoft.com/office/2007/relationships/stylesWithEffects" Target="stylesWithEffects.xml"/><Relationship Id="rId7" Type="http://schemas.openxmlformats.org/officeDocument/2006/relationships/hyperlink" Target="http://webaim.org/standards/508/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650</Words>
  <Characters>3708</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SUNY PDP</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Skawinski</dc:creator>
  <cp:lastModifiedBy>Jean Morris</cp:lastModifiedBy>
  <cp:revision>2</cp:revision>
  <cp:lastPrinted>2017-04-25T18:52:00Z</cp:lastPrinted>
  <dcterms:created xsi:type="dcterms:W3CDTF">2017-04-28T00:48:00Z</dcterms:created>
  <dcterms:modified xsi:type="dcterms:W3CDTF">2017-04-28T00:48:00Z</dcterms:modified>
</cp:coreProperties>
</file>