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95959"/>
          <w:sz w:val="18"/>
          <w:szCs w:val="18"/>
        </w:rPr>
        <w:t xml:space="preserve">UNIVERSIDAD ANTONIO NARIÑO · FACULTAD DE ENFERMERÍA</w:t>
      </w:r>
    </w:p>
    <w:p>
      <w:pPr>
        <w:spacing w:after="360"/>
        <w:jc w:val="center"/>
      </w:pPr>
      <w:r>
        <w:rPr>
          <w:color w:val="595959"/>
          <w:sz w:val="18"/>
          <w:szCs w:val="18"/>
        </w:rPr>
        <w:t xml:space="preserve">Maestría en Cuidados Paliativos · 2026-I</w:t>
      </w:r>
    </w:p>
    <w:p>
      <w:pPr>
        <w:spacing w:after="120" w:before="240"/>
        <w:jc w:val="center"/>
      </w:pPr>
      <w:r>
        <w:rPr>
          <w:b/>
          <w:bCs/>
          <w:color w:val="1F4E79"/>
          <w:sz w:val="44"/>
          <w:szCs w:val="44"/>
        </w:rPr>
        <w:t xml:space="preserve">Documento de Voluntad Anticipada</w:t>
      </w:r>
    </w:p>
    <w:p>
      <w:pPr>
        <w:spacing w:after="360"/>
        <w:jc w:val="center"/>
      </w:pPr>
      <w:r>
        <w:rPr>
          <w:i/>
          <w:iCs/>
          <w:color w:val="C00000"/>
          <w:sz w:val="28"/>
          <w:szCs w:val="28"/>
        </w:rPr>
        <w:t xml:space="preserve">Fundamentación normativa, científica y operacional</w:t>
      </w:r>
    </w:p>
    <w:p>
      <w:pPr>
        <w:spacing w:after="480"/>
        <w:jc w:val="center"/>
      </w:pPr>
      <w:r>
        <w:rPr>
          <w:color w:val="595959"/>
          <w:sz w:val="22"/>
          <w:szCs w:val="22"/>
        </w:rPr>
        <w:t xml:space="preserve">Anexo de la actividad presencial del 8 de mayo de 2026</w:t>
      </w:r>
      <w:r>
        <w:rPr>
          <w:color w:val="595959"/>
          <w:sz w:val="20"/>
          <w:szCs w:val="20"/>
        </w:rPr>
        <w:br/>
        <w:t xml:space="preserve">
Curso: Contexto Histórico y Legal de los Cuidados Paliativos · 37542001</w:t>
        <w:br/>
        <w:t xml:space="preserve">
Profesor: Jorge Bogoya López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200"/>
              <w:left w:type="dxa" w:w="240"/>
              <w:bottom w:type="dxa" w:w="200"/>
              <w:right w:type="dxa" w:w="240"/>
            </w:tcMar>
          </w:tcPr>
          <w:p>
            <w:pPr>
              <w:spacing w:after="100" w:before="0"/>
            </w:pPr>
            <w:r>
              <w:rPr>
                <w:b/>
                <w:bCs/>
                <w:color w:val="E36C09"/>
                <w:sz w:val="22"/>
                <w:szCs w:val="22"/>
              </w:rPr>
              <w:t xml:space="preserve">Resumen ejecutivo</w:t>
            </w:r>
          </w:p>
          <w:p>
            <w:pPr>
              <w:jc w:val="both"/>
            </w:pPr>
            <w:r>
              <w:rPr>
                <w:sz w:val="21"/>
                <w:szCs w:val="21"/>
              </w:rPr>
              <w:t xml:space="preserve">Este anexo entrega a los estudiantes la base normativa, científica y operacional necesaria para construir, en la actividad presencial del 8 de mayo, un Documento de Voluntad Anticipada (DVA) profesionalmente válido bajo Resolución 2665 de 2018. Sintetiza los referentes nacionales (Ley 1733 de 2014, Ley Estatutaria 1751 de 2015, Ley 1996 de 2019, Ley 1805 de 2016, Resolución 813 de 2026) y los marcos internacionales convergentes (Convención Interamericana A-70, Convención sobre los Derechos de las Personas con Discapacidad, White Paper de la European Association for Palliative Care sobre Advance Care Planning, jurisprudencia constitucional 2023-2026), incorporando la lista de verificación de 20 variables construida por Castro-Vargas, Castaño-Castrillón y Riveros-Pérez en 2024, base metodológica de la actividad evaluativa.</w:t>
            </w:r>
          </w:p>
        </w:tc>
      </w:tr>
    </w:tbl>
    <w:p>
      <w:pPr>
        <w:spacing w:after="120" w:before="120"/>
      </w:pPr>
      <w:r>
        <w:t xml:space="preserve"/>
      </w:r>
    </w:p>
    <w:p>
      <w:pPr>
        <w:pStyle w:val="Heading1"/>
        <w:spacing w:after="180" w:before="360"/>
      </w:pPr>
      <w:r>
        <w:rPr>
          <w:b/>
          <w:bCs/>
          <w:color w:val="1F4E79"/>
          <w:sz w:val="32"/>
          <w:szCs w:val="32"/>
        </w:rPr>
        <w:t xml:space="preserve">1. Marco conceptual</w:t>
      </w:r>
    </w:p>
    <w:p>
      <w:pPr>
        <w:pStyle w:val="Heading2"/>
        <w:spacing w:after="140" w:before="280"/>
      </w:pPr>
      <w:r>
        <w:rPr>
          <w:b/>
          <w:bCs/>
          <w:color w:val="1F4E79"/>
          <w:sz w:val="26"/>
          <w:szCs w:val="26"/>
        </w:rPr>
        <w:t xml:space="preserve">1.1. ¿Qué es un Documento de Voluntad Anticipada?</w:t>
      </w:r>
    </w:p>
    <w:p>
      <w:pPr>
        <w:spacing w:after="80" w:before="80"/>
        <w:jc w:val="both"/>
      </w:pPr>
      <w:r>
        <w:rPr>
          <w:sz w:val="22"/>
          <w:szCs w:val="22"/>
        </w:rPr>
        <w:t xml:space="preserve">El artículo 2° de la Resolución 2665 de 2018 lo define así: </w:t>
      </w:r>
      <w:r>
        <w:rPr>
          <w:b w:val="false"/>
          <w:bCs w:val="false"/>
          <w:i/>
          <w:iCs/>
          <w:color w:val="1A1A1A"/>
          <w:sz w:val="22"/>
          <w:szCs w:val="22"/>
        </w:rPr>
        <w:t xml:space="preserve">«aquel en el que toda persona capaz, sana o en estado de enfermedad, en pleno uso de sus facultades legales y mentales y como previsión de no poder tomar tal decisión en el futuro, declara, de forma libre, consciente e informada su voluntad de no someterse a medios, tratamientos y/o procedimientos médicos innecesarios que pretendan prolongar su vida»</w:t>
      </w:r>
      <w:r>
        <w:rPr>
          <w:sz w:val="22"/>
          <w:szCs w:val="22"/>
        </w:rPr>
        <w:t xml:space="preserve">. Tres elementos definitorios resultan centrales para distinguirlo de figuras adyacentes:</w:t>
      </w:r>
    </w:p>
    <w:p>
      <w:pPr>
        <w:pStyle w:val="ListParagraph"/>
        <w:numPr>
          <w:ilvl w:val="0"/>
          <w:numId w:val="2"/>
        </w:numPr>
        <w:spacing w:after="40" w:before="40"/>
        <w:jc w:val="both"/>
      </w:pPr>
      <w:r>
        <w:rPr>
          <w:sz w:val="22"/>
          <w:szCs w:val="22"/>
        </w:rPr>
        <w:t xml:space="preserve">Es un acto previsor: opera en el futuro, cuando la persona haya perdido capacidad para manifestar su voluntad. Esto lo distingue del consentimiento informado, que opera en el presente sobre una intervención concreta.</w:t>
      </w:r>
    </w:p>
    <w:p>
      <w:pPr>
        <w:pStyle w:val="ListParagraph"/>
        <w:numPr>
          <w:ilvl w:val="0"/>
          <w:numId w:val="2"/>
        </w:numPr>
        <w:spacing w:after="40" w:before="40"/>
        <w:jc w:val="both"/>
      </w:pPr>
      <w:r>
        <w:rPr>
          <w:sz w:val="22"/>
          <w:szCs w:val="22"/>
        </w:rPr>
        <w:t xml:space="preserve">Es expresión de autonomía: garantiza el libre desarrollo de la personalidad y la autonomía de quien lo suscribe. La Sentencia C-233 de 2014 estableció que «presenta similitudes con la figura del consentimiento informado en el sentido que garantiza la autonomía de la persona, expresada de manera libre, consciente, informada y con plena capacidad para ello».</w:t>
      </w:r>
    </w:p>
    <w:p>
      <w:pPr>
        <w:pStyle w:val="ListParagraph"/>
        <w:numPr>
          <w:ilvl w:val="0"/>
          <w:numId w:val="2"/>
        </w:numPr>
        <w:spacing w:after="40" w:before="40"/>
        <w:jc w:val="both"/>
      </w:pPr>
      <w:r>
        <w:rPr>
          <w:sz w:val="22"/>
          <w:szCs w:val="22"/>
        </w:rPr>
        <w:t xml:space="preserve">Es siempre revocable: el otorgante conserva el derecho a decidir y expresar su voluntad actual mientras conserve capacidad. La revocabilidad es estructural, no opcional.</w:t>
      </w:r>
    </w:p>
    <w:p>
      <w:pPr>
        <w:pStyle w:val="Heading2"/>
        <w:spacing w:after="140" w:before="280"/>
      </w:pPr>
      <w:r>
        <w:rPr>
          <w:b/>
          <w:bCs/>
          <w:color w:val="1F4E79"/>
          <w:sz w:val="26"/>
          <w:szCs w:val="26"/>
        </w:rPr>
        <w:t xml:space="preserve">1.2. Distinciones conceptuales clave</w:t>
      </w:r>
    </w:p>
    <w:p>
      <w:pPr>
        <w:spacing w:after="80" w:before="80"/>
        <w:jc w:val="both"/>
      </w:pPr>
      <w:r>
        <w:rPr>
          <w:sz w:val="22"/>
          <w:szCs w:val="22"/>
        </w:rPr>
        <w:t xml:space="preserve">El DVA forma parte de un conjunto más amplio de figuras de planificación anticipada que conviene no confundir: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Figura</w:t>
            </w:r>
          </w:p>
        </w:tc>
        <w:tc>
          <w:tcPr>
            <w:tcW w:type="dxa" w:w="69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Definición y diferencia</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Documento de Voluntad Anticipada (DVA)</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Acto previsor sobre tratamientos a recibir o rechazar cuando la persona pierda capacidad. Vinculante para el equipo tratante. Reglamentado por Resolución 2665 de 2018.</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Consentimiento informado</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Acto presente sobre una intervención concreta. Requiere capacidad actual del paciente. Vinculante para la intervención específica autorizada.</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Planificación anticipada de cuidados</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Proceso continuo de conversación entre paciente, familia y equipo tratante sobre valores, preferencias y objetivos del cuidado. El DVA es uno de sus productos posibles, no su sustituto. Recomendado por la European Association for Palliative Care en el White Paper de 2017.</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Solicitud de eutanasia o muerte digna</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Acto presente que solicita un procedimiento específico bajo Resolución 813 de 2026. Requiere capacidad actual y se tramita ante Comité Interdisciplinario, no es un DVA.</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Apoyos interpretativos de la voluntad</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Categoría introducida por la Sentencia T-438 de 2025. Mecanismo para reconstruir la voluntad de personas que la perdieron, basándose en su DVA previo, su trayectoria vital y manifestaciones documentadas.</w:t>
            </w:r>
          </w:p>
        </w:tc>
      </w:tr>
    </w:tbl>
    <w:p>
      <w:pPr>
        <w:spacing w:after="120" w:before="120"/>
      </w:pPr>
      <w:r>
        <w:t xml:space="preserve"/>
      </w:r>
    </w:p>
    <w:p>
      <w:pPr>
        <w:pStyle w:val="Heading2"/>
        <w:spacing w:after="140" w:before="280"/>
      </w:pPr>
      <w:r>
        <w:rPr>
          <w:b/>
          <w:bCs/>
          <w:color w:val="1F4E79"/>
          <w:sz w:val="26"/>
          <w:szCs w:val="26"/>
        </w:rPr>
        <w:t xml:space="preserve">1.3. Por qué la calidad del formulario importa</w:t>
      </w:r>
    </w:p>
    <w:p>
      <w:pPr>
        <w:spacing w:after="80" w:before="80"/>
        <w:jc w:val="both"/>
      </w:pPr>
      <w:r>
        <w:rPr>
          <w:sz w:val="22"/>
          <w:szCs w:val="22"/>
        </w:rPr>
        <w:t xml:space="preserve">El estudio de Castro-Vargas, Castaño-Castrillón y Riveros-Pérez (2024), publicado en </w:t>
      </w:r>
      <w:r>
        <w:rPr>
          <w:b w:val="false"/>
          <w:bCs w:val="false"/>
          <w:i/>
          <w:iCs/>
          <w:color w:val="1A1A1A"/>
          <w:sz w:val="22"/>
          <w:szCs w:val="22"/>
        </w:rPr>
        <w:t xml:space="preserve">Colombian Journal of Anesthesiology</w:t>
      </w:r>
      <w:r>
        <w:rPr>
          <w:sz w:val="22"/>
          <w:szCs w:val="22"/>
        </w:rPr>
        <w:t xml:space="preserve"> (volumen 52, número e1093), evaluó 24 formularios de DVA en circulación en Colombia con una lista de verificación de 20 variables. Resultados:</w:t>
      </w:r>
    </w:p>
    <w:p>
      <w:pPr>
        <w:pStyle w:val="ListParagraph"/>
        <w:numPr>
          <w:ilvl w:val="0"/>
          <w:numId w:val="2"/>
        </w:numPr>
        <w:spacing w:after="40" w:before="40"/>
        <w:jc w:val="both"/>
      </w:pPr>
      <w:r>
        <w:rPr>
          <w:sz w:val="22"/>
          <w:szCs w:val="22"/>
        </w:rPr>
        <w:t xml:space="preserve">Ningún formulario superó las 14 variables (de 20 posibles).</w:t>
      </w:r>
    </w:p>
    <w:p>
      <w:pPr>
        <w:pStyle w:val="ListParagraph"/>
        <w:numPr>
          <w:ilvl w:val="0"/>
          <w:numId w:val="2"/>
        </w:numPr>
        <w:spacing w:after="40" w:before="40"/>
        <w:jc w:val="both"/>
      </w:pPr>
      <w:r>
        <w:rPr>
          <w:sz w:val="22"/>
          <w:szCs w:val="22"/>
        </w:rPr>
        <w:t xml:space="preserve">El 70% de los formularios contenía un máximo de 10 variables.</w:t>
      </w:r>
    </w:p>
    <w:p>
      <w:pPr>
        <w:pStyle w:val="ListParagraph"/>
        <w:numPr>
          <w:ilvl w:val="0"/>
          <w:numId w:val="2"/>
        </w:numPr>
        <w:spacing w:after="40" w:before="40"/>
        <w:jc w:val="both"/>
      </w:pPr>
      <w:r>
        <w:rPr>
          <w:sz w:val="22"/>
          <w:szCs w:val="22"/>
        </w:rPr>
        <w:t xml:space="preserve">Las variables más frecuentemente omitidas fueron: indicaciones específicas sobre sedación paliativa, manejo del dolor con escalera analgésica de la Organización Mundial de la Salud, decisiones diferenciadas por escenario clínico y mecanismos operativos de revocabilidad.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200"/>
              <w:left w:type="dxa" w:w="240"/>
              <w:bottom w:type="dxa" w:w="200"/>
              <w:right w:type="dxa" w:w="240"/>
            </w:tcMar>
          </w:tcPr>
          <w:p>
            <w:pPr>
              <w:spacing w:after="100" w:before="0"/>
            </w:pPr>
            <w:r>
              <w:rPr>
                <w:b/>
                <w:bCs/>
                <w:color w:val="C00000"/>
                <w:sz w:val="22"/>
                <w:szCs w:val="22"/>
              </w:rPr>
              <w:t xml:space="preserve">Implicación práctica</w:t>
            </w:r>
          </w:p>
          <w:p>
            <w:pPr>
              <w:jc w:val="both"/>
            </w:pPr>
            <w:r>
              <w:rPr>
                <w:sz w:val="21"/>
                <w:szCs w:val="21"/>
              </w:rPr>
              <w:t xml:space="preserve">Un DVA con menos de 14 variables operativamente cumplidas no protege adecuadamente la autonomía. En la práctica clínica, los espacios omitidos serán llenados por interpretación discrecional del equipo tratante, sustituyendo la voluntad real por la voluntad supuesta. La actividad del 8 de mayo busca producir formularios que superen este techo, alcanzando idealmente las 20 variables.</w:t>
            </w:r>
          </w:p>
        </w:tc>
      </w:tr>
    </w:tbl>
    <w:p>
      <w:r>
        <w:br w:type="page"/>
      </w:r>
    </w:p>
    <w:p>
      <w:pPr>
        <w:pStyle w:val="Heading1"/>
        <w:spacing w:after="180" w:before="360"/>
      </w:pPr>
      <w:r>
        <w:rPr>
          <w:b/>
          <w:bCs/>
          <w:color w:val="1F4E79"/>
          <w:sz w:val="32"/>
          <w:szCs w:val="32"/>
        </w:rPr>
        <w:t xml:space="preserve">2. Marco normativo nacional</w:t>
      </w:r>
    </w:p>
    <w:p>
      <w:pPr>
        <w:pStyle w:val="Heading2"/>
        <w:spacing w:after="140" w:before="280"/>
      </w:pPr>
      <w:r>
        <w:rPr>
          <w:b/>
          <w:bCs/>
          <w:color w:val="1F4E79"/>
          <w:sz w:val="26"/>
          <w:szCs w:val="26"/>
        </w:rPr>
        <w:t xml:space="preserve">2.1. Resolución 2665 de 2018 — anatomía operativa</w:t>
      </w:r>
    </w:p>
    <w:p>
      <w:pPr>
        <w:spacing w:after="80" w:before="80"/>
        <w:jc w:val="both"/>
      </w:pPr>
      <w:r>
        <w:rPr>
          <w:sz w:val="22"/>
          <w:szCs w:val="22"/>
        </w:rPr>
        <w:t xml:space="preserve">La Resolución 2665 del 25 de junio de 2018 del Ministerio de Salud y Protección Social reglamenta parcialmente la Ley 1733 de 2014 sobre el Documento de Voluntad Anticipada. Deroga la Resolución 1051 de 2016. Estructura en cuatro capítulos:</w:t>
      </w:r>
    </w:p>
    <w:p>
      <w:pPr>
        <w:pStyle w:val="Heading3"/>
        <w:spacing w:after="100" w:before="200"/>
      </w:pPr>
      <w:r>
        <w:rPr>
          <w:b/>
          <w:bCs/>
          <w:color w:val="C00000"/>
          <w:sz w:val="23"/>
          <w:szCs w:val="23"/>
        </w:rPr>
        <w:t xml:space="preserve">Capítulo I · Disposiciones generales (artículos 1-2)</w:t>
      </w:r>
    </w:p>
    <w:p>
      <w:pPr>
        <w:pStyle w:val="ListParagraph"/>
        <w:numPr>
          <w:ilvl w:val="0"/>
          <w:numId w:val="2"/>
        </w:numPr>
        <w:spacing w:after="40" w:before="40"/>
        <w:jc w:val="both"/>
      </w:pPr>
      <w:r>
        <w:rPr>
          <w:sz w:val="22"/>
          <w:szCs w:val="22"/>
        </w:rPr>
        <w:t xml:space="preserve">Artículo 1° · Objeto. Regula los requisitos y formas de realización del DVA. Garantiza el libre desarrollo de la personalidad y la autonomía. El otorgante siempre conserva el derecho a decidir y expresar su voluntad actual.</w:t>
      </w:r>
    </w:p>
    <w:p>
      <w:pPr>
        <w:pStyle w:val="ListParagraph"/>
        <w:numPr>
          <w:ilvl w:val="0"/>
          <w:numId w:val="2"/>
        </w:numPr>
        <w:spacing w:after="40" w:before="40"/>
        <w:jc w:val="both"/>
      </w:pPr>
      <w:r>
        <w:rPr>
          <w:sz w:val="22"/>
          <w:szCs w:val="22"/>
        </w:rPr>
        <w:t xml:space="preserve">Artículo 2° · Definiciones. DVA, cuidados paliativos, enfermo en fase terminal y enfermedad crónica, degenerativa e irreversible (estas tres últimas remiten a la Ley 1733 de 2014).</w:t>
      </w:r>
    </w:p>
    <w:p>
      <w:pPr>
        <w:pStyle w:val="Heading3"/>
        <w:spacing w:after="100" w:before="200"/>
      </w:pPr>
      <w:r>
        <w:rPr>
          <w:b/>
          <w:bCs/>
          <w:color w:val="C00000"/>
          <w:sz w:val="23"/>
          <w:szCs w:val="23"/>
        </w:rPr>
        <w:t xml:space="preserve">Capítulo II · Del Documento de Voluntad Anticipada (artículos 3-9)</w:t>
      </w:r>
    </w:p>
    <w:p>
      <w:pPr>
        <w:pStyle w:val="ListParagraph"/>
        <w:numPr>
          <w:ilvl w:val="0"/>
          <w:numId w:val="2"/>
        </w:numPr>
        <w:spacing w:after="40" w:before="40"/>
        <w:jc w:val="both"/>
      </w:pPr>
      <w:r>
        <w:rPr>
          <w:sz w:val="22"/>
          <w:szCs w:val="22"/>
        </w:rPr>
        <w:t xml:space="preserve">Artículo 3° · Capacidad. Toda persona mayor de edad, capaz, sana o en estado de enfermedad, en pleno uso de sus facultades legales y mentales.</w:t>
      </w:r>
    </w:p>
    <w:p>
      <w:pPr>
        <w:pStyle w:val="ListParagraph"/>
        <w:numPr>
          <w:ilvl w:val="0"/>
          <w:numId w:val="2"/>
        </w:numPr>
        <w:spacing w:after="40" w:before="40"/>
        <w:jc w:val="both"/>
      </w:pPr>
      <w:r>
        <w:rPr>
          <w:sz w:val="22"/>
          <w:szCs w:val="22"/>
        </w:rPr>
        <w:t xml:space="preserve">Artículo 4° · Contenido mínimo. Establece los elementos formales obligatorios.</w:t>
      </w:r>
    </w:p>
    <w:p>
      <w:pPr>
        <w:pStyle w:val="ListParagraph"/>
        <w:numPr>
          <w:ilvl w:val="0"/>
          <w:numId w:val="2"/>
        </w:numPr>
        <w:spacing w:after="40" w:before="40"/>
        <w:jc w:val="both"/>
      </w:pPr>
      <w:r>
        <w:rPr>
          <w:sz w:val="22"/>
          <w:szCs w:val="22"/>
        </w:rPr>
        <w:t xml:space="preserve">Artículo 5° · Modalidades de formalización. Tres opciones: notario por escritura pública, dos testigos cualificados, o médico tratante.</w:t>
      </w:r>
    </w:p>
    <w:p>
      <w:pPr>
        <w:pStyle w:val="ListParagraph"/>
        <w:numPr>
          <w:ilvl w:val="0"/>
          <w:numId w:val="2"/>
        </w:numPr>
        <w:spacing w:after="40" w:before="40"/>
        <w:jc w:val="both"/>
      </w:pPr>
      <w:r>
        <w:rPr>
          <w:sz w:val="22"/>
          <w:szCs w:val="22"/>
        </w:rPr>
        <w:t xml:space="preserve">Artículos 6, 7 y 8 · Detallan cada modalidad de formalización.</w:t>
      </w:r>
    </w:p>
    <w:p>
      <w:pPr>
        <w:pStyle w:val="ListParagraph"/>
        <w:numPr>
          <w:ilvl w:val="0"/>
          <w:numId w:val="2"/>
        </w:numPr>
        <w:spacing w:after="40" w:before="40"/>
        <w:jc w:val="both"/>
      </w:pPr>
      <w:r>
        <w:rPr>
          <w:sz w:val="22"/>
          <w:szCs w:val="22"/>
        </w:rPr>
        <w:t xml:space="preserve">Artículo 9° · Circunstancias especiales. Si el otorgante no puede o no sabe leer/firmar, lectura por dos testigos o un familiar y huella dactilar. Si no conoce el idioma castellano, intérprete o perito traductor.</w:t>
      </w:r>
    </w:p>
    <w:p>
      <w:pPr>
        <w:pStyle w:val="Heading3"/>
        <w:spacing w:after="100" w:before="200"/>
      </w:pPr>
      <w:r>
        <w:rPr>
          <w:b/>
          <w:bCs/>
          <w:color w:val="C00000"/>
          <w:sz w:val="23"/>
          <w:szCs w:val="23"/>
        </w:rPr>
        <w:t xml:space="preserve">Capítulo III · Modificación, sustitución y revocación (artículos 10-11)</w:t>
      </w:r>
    </w:p>
    <w:p>
      <w:pPr>
        <w:pStyle w:val="ListParagraph"/>
        <w:numPr>
          <w:ilvl w:val="0"/>
          <w:numId w:val="2"/>
        </w:numPr>
        <w:spacing w:after="40" w:before="40"/>
        <w:jc w:val="both"/>
      </w:pPr>
      <w:r>
        <w:rPr>
          <w:sz w:val="22"/>
          <w:szCs w:val="22"/>
        </w:rPr>
        <w:t xml:space="preserve">Artículo 10° · Modificación cambia parcialmente el contenido sin privarlo de efectos. Sustitución priva de efectos otorgando uno nuevo. Revocación priva de efectos sin uno nuevo.</w:t>
      </w:r>
    </w:p>
    <w:p>
      <w:pPr>
        <w:pStyle w:val="ListParagraph"/>
        <w:numPr>
          <w:ilvl w:val="0"/>
          <w:numId w:val="2"/>
        </w:numPr>
        <w:spacing w:after="40" w:before="40"/>
        <w:jc w:val="both"/>
      </w:pPr>
      <w:r>
        <w:rPr>
          <w:sz w:val="22"/>
          <w:szCs w:val="22"/>
        </w:rPr>
        <w:t xml:space="preserve">Artículo 11° · Contenido mínimo del documento de modificación, sustitución o revocación.</w:t>
      </w:r>
    </w:p>
    <w:p>
      <w:pPr>
        <w:pStyle w:val="Heading3"/>
        <w:spacing w:after="100" w:before="200"/>
      </w:pPr>
      <w:r>
        <w:rPr>
          <w:b/>
          <w:bCs/>
          <w:color w:val="C00000"/>
          <w:sz w:val="23"/>
          <w:szCs w:val="23"/>
        </w:rPr>
        <w:t xml:space="preserve">Capítulo IV · Cumplimiento (artículos 12-14)</w:t>
      </w:r>
    </w:p>
    <w:p>
      <w:pPr>
        <w:pStyle w:val="ListParagraph"/>
        <w:numPr>
          <w:ilvl w:val="0"/>
          <w:numId w:val="2"/>
        </w:numPr>
        <w:spacing w:after="40" w:before="40"/>
        <w:jc w:val="both"/>
      </w:pPr>
      <w:r>
        <w:rPr>
          <w:sz w:val="22"/>
          <w:szCs w:val="22"/>
        </w:rPr>
        <w:t xml:space="preserve">Artículo 12° · Cumplimiento integral del DVA por parte del personal de salud.</w:t>
      </w:r>
    </w:p>
    <w:p>
      <w:pPr>
        <w:pStyle w:val="ListParagraph"/>
        <w:numPr>
          <w:ilvl w:val="0"/>
          <w:numId w:val="2"/>
        </w:numPr>
        <w:spacing w:after="40" w:before="40"/>
        <w:jc w:val="both"/>
      </w:pPr>
      <w:r>
        <w:rPr>
          <w:sz w:val="22"/>
          <w:szCs w:val="22"/>
        </w:rPr>
        <w:t xml:space="preserve">Artículo 13° · Anexión a la historia clínica y deber de reserva.</w:t>
      </w:r>
    </w:p>
    <w:p>
      <w:pPr>
        <w:pStyle w:val="ListParagraph"/>
        <w:numPr>
          <w:ilvl w:val="0"/>
          <w:numId w:val="2"/>
        </w:numPr>
        <w:spacing w:after="40" w:before="40"/>
        <w:jc w:val="both"/>
      </w:pPr>
      <w:r>
        <w:rPr>
          <w:sz w:val="22"/>
          <w:szCs w:val="22"/>
        </w:rPr>
        <w:t xml:space="preserve">Artículo 14° · Vigencia y derogatorias.</w:t>
      </w:r>
    </w:p>
    <w:p>
      <w:pPr>
        <w:pStyle w:val="Heading2"/>
        <w:spacing w:after="140" w:before="280"/>
      </w:pPr>
      <w:r>
        <w:rPr>
          <w:b/>
          <w:bCs/>
          <w:color w:val="1F4E79"/>
          <w:sz w:val="26"/>
          <w:szCs w:val="26"/>
        </w:rPr>
        <w:t xml:space="preserve">2.2. Modalidades de formalización · análisis 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Modalidad</w:t>
            </w:r>
          </w:p>
        </w:tc>
        <w:tc>
          <w:tcPr>
            <w:tcW w:type="dxa" w:w="69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Características y consideraciones operativas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Notario por escritura pública</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Mayor solemnidad y trazabilidad. Costo notarial (variable según valores fiscales). Útil cuando se requiere prueba indubitada y se prevé eventual conflicto familiar. Único requisito formal: comparecencia personal del otorgante con cédula.</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Dos testigos cualificados</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Modalidad más accesible y gratuita. Los testigos deben ser colombianos mayores de edad, plenamente capaces, no parientes hasta el cuarto grado de consanguinidad ni segundo de afinidad, no representantes legales, no herederos del otorgante. Firman conjuntamente. Útil para población rural, dispersa o de bajos recursos.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Médico tratante</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Sin testigos. El médico se identifica completamente en el documento (registro médico, especialidad, institución). Útil cuando el otorgante está hospitalizado o tiene relación de confianza establecida con su médico paliativista. Riesgo: posibles cuestionamientos posteriores sobre conflicto de intereses si el mismo médico será quien aplique el documento.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BF7" w:val="clear"/>
            <w:tcMar>
              <w:top w:type="dxa" w:w="200"/>
              <w:left w:type="dxa" w:w="240"/>
              <w:bottom w:type="dxa" w:w="200"/>
              <w:right w:type="dxa" w:w="240"/>
            </w:tcMar>
          </w:tcPr>
          <w:p>
            <w:pPr>
              <w:spacing w:after="100" w:before="0"/>
            </w:pPr>
            <w:r>
              <w:rPr>
                <w:b/>
                <w:bCs/>
                <w:color w:val="1F4E79"/>
                <w:sz w:val="22"/>
                <w:szCs w:val="22"/>
              </w:rPr>
              <w:t xml:space="preserve">Recomendación para Doña Carmen (caso paliativo en Caquetá)</w:t>
            </w:r>
          </w:p>
          <w:p>
            <w:pPr>
              <w:jc w:val="both"/>
            </w:pPr>
            <w:r>
              <w:rPr>
                <w:sz w:val="21"/>
                <w:szCs w:val="21"/>
              </w:rPr>
              <w:t xml:space="preserve">Dado el contexto rural y disperso, la modalidad de dos testigos cualificados suele ser la más operativa. La modalidad notarial implicaría desplazamiento a Florencia (capital departamental). La modalidad de médico tratante depende de la disponibilidad de un médico estable en el equipo paliativo, lo que en zonas dispersas no siempre es factible.</w:t>
            </w:r>
          </w:p>
        </w:tc>
      </w:tr>
    </w:tbl>
    <w:p>
      <w:pPr>
        <w:pStyle w:val="Heading2"/>
        <w:spacing w:after="140" w:before="280"/>
      </w:pPr>
      <w:r>
        <w:rPr>
          <w:b/>
          <w:bCs/>
          <w:color w:val="1F4E79"/>
          <w:sz w:val="26"/>
          <w:szCs w:val="26"/>
        </w:rPr>
        <w:t xml:space="preserve">2.3. Marco normativo articulado</w:t>
      </w:r>
    </w:p>
    <w:p>
      <w:pPr>
        <w:spacing w:after="80" w:before="80"/>
        <w:jc w:val="both"/>
      </w:pPr>
      <w:r>
        <w:rPr>
          <w:sz w:val="22"/>
          <w:szCs w:val="22"/>
        </w:rPr>
        <w:t xml:space="preserve">Un DVA jurídicamente robusto integra, además de la Resolución 2665, los siguientes referentes: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Norma</w:t>
            </w:r>
          </w:p>
        </w:tc>
        <w:tc>
          <w:tcPr>
            <w:tcW w:type="dxa" w:w="69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Aporte específico al DVA</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Ley 1733 de 2014</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Marco habilitante. El artículo 5° consagra entre los derechos del paciente el de suscribir un DVA. Define enfermedad terminal, cuidado paliativo y derechos del paciente paliativo.</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Ley Estatutaria 1751 de 2015</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Artículo 6° literal j: principio de integralidad del derecho a la salud. Articula el DVA con el derecho fundamental, no como concesión administrativa.</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Ley 1996 de 2019</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Capacidad jurídica plena de todas las personas con discapacidad. Régimen de apoyos en lugar de sustitución. Refuerza la presunción de capacidad para suscribir DVA.</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Ley 1805 de 2016</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Donación de órganos, tejidos y componentes anatómicos. Régimen de presunción legal de donación con derecho a oposición expresa, que el DVA puede registrar.</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Ley 23 de 1981 (ética médica)</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Artículo 13: el médico usará los métodos disponibles mientras subsista la esperanza de aliviar o curar. Articula con la prohibición de obstinación terapéutica.</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Resolución 813 de 2026</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Régimen unificado de muerte digna. Habilita los apoyos interpretativos de la voluntad sobre la base del DVA previo. Articula DVA, cuidados paliativos, adecuación del esfuerzo terapéutico y eutanasia como opciones no excluyentes.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Sentencia C-233 de 2014</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Marco constitucional sobre la voluntad anticipada y su articulación con el consentimiento informado.</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Sentencia T-438 de 2025</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Apoyos interpretativos de la voluntad. Tres escenarios: voluntad expresada antes de la pérdida (procede con apoyos), voluntad inferible por trayectoria (procede con análisis), voluntad nunca expresada ni inferible (no procede; se refuerzan cuidados paliativos).</w:t>
            </w:r>
          </w:p>
        </w:tc>
      </w:tr>
    </w:tbl>
    <w:p>
      <w:r>
        <w:br w:type="page"/>
      </w:r>
    </w:p>
    <w:p>
      <w:pPr>
        <w:pStyle w:val="Heading1"/>
        <w:spacing w:after="180" w:before="360"/>
      </w:pPr>
      <w:r>
        <w:rPr>
          <w:b/>
          <w:bCs/>
          <w:color w:val="1F4E79"/>
          <w:sz w:val="32"/>
          <w:szCs w:val="32"/>
        </w:rPr>
        <w:t xml:space="preserve">3. Marco internacional</w:t>
      </w:r>
    </w:p>
    <w:p>
      <w:pPr>
        <w:pStyle w:val="Heading2"/>
        <w:spacing w:after="140" w:before="280"/>
      </w:pPr>
      <w:r>
        <w:rPr>
          <w:b/>
          <w:bCs/>
          <w:color w:val="1F4E79"/>
          <w:sz w:val="26"/>
          <w:szCs w:val="26"/>
        </w:rPr>
        <w:t xml:space="preserve">3.1. Convención Interamericana sobre la Protección de los Derechos Humanos de las Personas Mayores (A-70)</w:t>
      </w:r>
    </w:p>
    <w:p>
      <w:pPr>
        <w:spacing w:after="80" w:before="80"/>
        <w:jc w:val="both"/>
      </w:pPr>
      <w:r>
        <w:rPr>
          <w:sz w:val="22"/>
          <w:szCs w:val="22"/>
        </w:rPr>
        <w:t xml:space="preserve">Adoptada por la Organización de los Estados Americanos el 15 de junio de 2015. Aprobada por Colombia mediante Ley 2055 de 2020. Control constitucional por Sentencia C-395 de 2021. Colombia depositó instrumento de adhesión el 27 de septiembre de 2022 con dos declaraciones interpretativas que no afectan los artículos relevantes para DVA.</w:t>
      </w:r>
    </w:p>
    <w:p>
      <w:pPr>
        <w:pStyle w:val="Heading3"/>
        <w:spacing w:after="100" w:before="200"/>
      </w:pPr>
      <w:r>
        <w:rPr>
          <w:b/>
          <w:bCs/>
          <w:color w:val="C00000"/>
          <w:sz w:val="23"/>
          <w:szCs w:val="23"/>
        </w:rPr>
        <w:t xml:space="preserve">Artículos relevantes para el DVA</w:t>
      </w:r>
    </w:p>
    <w:p>
      <w:pPr>
        <w:pStyle w:val="ListParagraph"/>
        <w:numPr>
          <w:ilvl w:val="0"/>
          <w:numId w:val="2"/>
        </w:numPr>
        <w:spacing w:after="40" w:before="40"/>
        <w:jc w:val="both"/>
      </w:pPr>
      <w:r>
        <w:rPr>
          <w:sz w:val="22"/>
          <w:szCs w:val="22"/>
        </w:rPr>
        <w:t xml:space="preserve">Artículo 11 · Derecho a brindar consentimiento libre e informado en el ámbito de la salud. Establece estándar reforzado de información y consentimiento para personas mayores.</w:t>
      </w:r>
    </w:p>
    <w:p>
      <w:pPr>
        <w:pStyle w:val="ListParagraph"/>
        <w:numPr>
          <w:ilvl w:val="0"/>
          <w:numId w:val="2"/>
        </w:numPr>
        <w:spacing w:after="40" w:before="40"/>
        <w:jc w:val="both"/>
      </w:pPr>
      <w:r>
        <w:rPr>
          <w:sz w:val="22"/>
          <w:szCs w:val="22"/>
        </w:rPr>
        <w:t xml:space="preserve">Artículo 12 · Derechos de la persona mayor que recibe servicios de cuidado a largo plazo. Incluye decisión informada sobre el tipo de cuidado.</w:t>
      </w:r>
    </w:p>
    <w:p>
      <w:pPr>
        <w:pStyle w:val="ListParagraph"/>
        <w:numPr>
          <w:ilvl w:val="0"/>
          <w:numId w:val="2"/>
        </w:numPr>
        <w:spacing w:after="40" w:before="40"/>
        <w:jc w:val="both"/>
      </w:pPr>
      <w:r>
        <w:rPr>
          <w:sz w:val="22"/>
          <w:szCs w:val="22"/>
        </w:rPr>
        <w:t xml:space="preserve">Artículo 19 literal m · Obligación estatal de garantizar disponibilidad y acceso a medicamentos esenciales reconocidos por la Organización Mundial de la Salud, incluyendo los fiscalizados necesarios para los cuidados paliativos. Invocado operativamente en la Sentencia T-289 de 2025.</w:t>
      </w:r>
    </w:p>
    <w:p>
      <w:pPr>
        <w:pStyle w:val="Heading2"/>
        <w:spacing w:after="140" w:before="280"/>
      </w:pPr>
      <w:r>
        <w:rPr>
          <w:b/>
          <w:bCs/>
          <w:color w:val="1F4E79"/>
          <w:sz w:val="26"/>
          <w:szCs w:val="26"/>
        </w:rPr>
        <w:t xml:space="preserve">3.2. Convención sobre los Derechos de las Personas con Discapacidad</w:t>
      </w:r>
    </w:p>
    <w:p>
      <w:pPr>
        <w:spacing w:after="80" w:before="80"/>
        <w:jc w:val="both"/>
      </w:pPr>
      <w:r>
        <w:rPr>
          <w:sz w:val="22"/>
          <w:szCs w:val="22"/>
        </w:rPr>
        <w:t xml:space="preserve">Aprobada por Colombia mediante Ley 1346 de 2009. Artículo 12 sobre igual reconocimiento como persona ante la ley: capacidad jurídica plena de todas las personas con discapacidad en todos los aspectos de la vida. Modelo de apoyos en lugar de sustitución de la voluntad. Operacionalizada en Colombia por la Ley 1996 de 2019.</w:t>
      </w:r>
    </w:p>
    <w:p>
      <w:pPr>
        <w:pStyle w:val="Heading2"/>
        <w:spacing w:after="140" w:before="280"/>
      </w:pPr>
      <w:r>
        <w:rPr>
          <w:b/>
          <w:bCs/>
          <w:color w:val="1F4E79"/>
          <w:sz w:val="26"/>
          <w:szCs w:val="26"/>
        </w:rPr>
        <w:t xml:space="preserve">3.3. White Paper sobre Advance Care Planning · European Association for Palliative Care (EAPC)</w:t>
      </w:r>
    </w:p>
    <w:p>
      <w:pPr>
        <w:spacing w:after="80" w:before="80"/>
        <w:jc w:val="both"/>
      </w:pPr>
      <w:r>
        <w:rPr>
          <w:sz w:val="22"/>
          <w:szCs w:val="22"/>
        </w:rPr>
        <w:t xml:space="preserve">Rietjens, Sudore, Connolly, van Delden, Drickamer, Droger, van der Heide, Heyland, Houttekier, Janssen, Orsi, Payne, Seymour, Jox y Korfage (2017). Definition and recommendations for advance care planning: an international consensus supported by the European Association for Palliative Care. </w:t>
      </w:r>
      <w:r>
        <w:rPr>
          <w:b w:val="false"/>
          <w:bCs w:val="false"/>
          <w:i/>
          <w:iCs/>
          <w:color w:val="1A1A1A"/>
          <w:sz w:val="22"/>
          <w:szCs w:val="22"/>
        </w:rPr>
        <w:t xml:space="preserve">The Lancet Oncology</w:t>
      </w:r>
      <w:r>
        <w:rPr>
          <w:sz w:val="22"/>
          <w:szCs w:val="22"/>
        </w:rPr>
        <w:t xml:space="preserve">, 18(9): e543-e551. Publicación de referencia internacional.</w:t>
      </w:r>
    </w:p>
    <w:p>
      <w:pPr>
        <w:pStyle w:val="Heading3"/>
        <w:spacing w:after="100" w:before="200"/>
      </w:pPr>
      <w:r>
        <w:rPr>
          <w:b/>
          <w:bCs/>
          <w:color w:val="C00000"/>
          <w:sz w:val="23"/>
          <w:szCs w:val="23"/>
        </w:rPr>
        <w:t xml:space="preserve">Once recomendaciones operativas (sintéticamente)</w:t>
      </w:r>
    </w:p>
    <w:p>
      <w:pPr>
        <w:pStyle w:val="ListParagraph"/>
        <w:numPr>
          <w:ilvl w:val="0"/>
          <w:numId w:val="3"/>
        </w:numPr>
        <w:spacing w:after="40" w:before="40"/>
        <w:jc w:val="both"/>
      </w:pPr>
      <w:r>
        <w:rPr>
          <w:sz w:val="22"/>
          <w:szCs w:val="22"/>
        </w:rPr>
        <w:t xml:space="preserve">Definir Advance Care Planning como proceso continuo, no como evento o documento aislado.</w:t>
      </w:r>
    </w:p>
    <w:p>
      <w:pPr>
        <w:pStyle w:val="ListParagraph"/>
        <w:numPr>
          <w:ilvl w:val="0"/>
          <w:numId w:val="3"/>
        </w:numPr>
        <w:spacing w:after="40" w:before="40"/>
        <w:jc w:val="both"/>
      </w:pPr>
      <w:r>
        <w:rPr>
          <w:sz w:val="22"/>
          <w:szCs w:val="22"/>
        </w:rPr>
        <w:t xml:space="preserve">Iniciar las conversaciones tempranamente, antes de la fase terminal.</w:t>
      </w:r>
    </w:p>
    <w:p>
      <w:pPr>
        <w:pStyle w:val="ListParagraph"/>
        <w:numPr>
          <w:ilvl w:val="0"/>
          <w:numId w:val="3"/>
        </w:numPr>
        <w:spacing w:after="40" w:before="40"/>
        <w:jc w:val="both"/>
      </w:pPr>
      <w:r>
        <w:rPr>
          <w:sz w:val="22"/>
          <w:szCs w:val="22"/>
        </w:rPr>
        <w:t xml:space="preserve">Profesionales formados en habilidades comunicacionales específicas.</w:t>
      </w:r>
    </w:p>
    <w:p>
      <w:pPr>
        <w:pStyle w:val="ListParagraph"/>
        <w:numPr>
          <w:ilvl w:val="0"/>
          <w:numId w:val="3"/>
        </w:numPr>
        <w:spacing w:after="40" w:before="40"/>
        <w:jc w:val="both"/>
      </w:pPr>
      <w:r>
        <w:rPr>
          <w:sz w:val="22"/>
          <w:szCs w:val="22"/>
        </w:rPr>
        <w:t xml:space="preserve">Adaptar la conversación a la cultura, alfabetización y preferencias de la persona.</w:t>
      </w:r>
    </w:p>
    <w:p>
      <w:pPr>
        <w:pStyle w:val="ListParagraph"/>
        <w:numPr>
          <w:ilvl w:val="0"/>
          <w:numId w:val="3"/>
        </w:numPr>
        <w:spacing w:after="40" w:before="40"/>
        <w:jc w:val="both"/>
      </w:pPr>
      <w:r>
        <w:rPr>
          <w:sz w:val="22"/>
          <w:szCs w:val="22"/>
        </w:rPr>
        <w:t xml:space="preserve">Incluir a familiares y representantes designados con consentimiento del paciente.</w:t>
      </w:r>
    </w:p>
    <w:p>
      <w:pPr>
        <w:pStyle w:val="ListParagraph"/>
        <w:numPr>
          <w:ilvl w:val="0"/>
          <w:numId w:val="3"/>
        </w:numPr>
        <w:spacing w:after="40" w:before="40"/>
        <w:jc w:val="both"/>
      </w:pPr>
      <w:r>
        <w:rPr>
          <w:sz w:val="22"/>
          <w:szCs w:val="22"/>
        </w:rPr>
        <w:t xml:space="preserve">Documentar las preferencias en formato accesible y vinculante.</w:t>
      </w:r>
    </w:p>
    <w:p>
      <w:pPr>
        <w:pStyle w:val="ListParagraph"/>
        <w:numPr>
          <w:ilvl w:val="0"/>
          <w:numId w:val="3"/>
        </w:numPr>
        <w:spacing w:after="40" w:before="40"/>
        <w:jc w:val="both"/>
      </w:pPr>
      <w:r>
        <w:rPr>
          <w:sz w:val="22"/>
          <w:szCs w:val="22"/>
        </w:rPr>
        <w:t xml:space="preserve">Articular el documento con la historia clínica electrónica.</w:t>
      </w:r>
    </w:p>
    <w:p>
      <w:pPr>
        <w:pStyle w:val="ListParagraph"/>
        <w:numPr>
          <w:ilvl w:val="0"/>
          <w:numId w:val="3"/>
        </w:numPr>
        <w:spacing w:after="40" w:before="40"/>
        <w:jc w:val="both"/>
      </w:pPr>
      <w:r>
        <w:rPr>
          <w:sz w:val="22"/>
          <w:szCs w:val="22"/>
        </w:rPr>
        <w:t xml:space="preserve">Revisar periódicamente las preferencias documentadas.</w:t>
      </w:r>
    </w:p>
    <w:p>
      <w:pPr>
        <w:pStyle w:val="ListParagraph"/>
        <w:numPr>
          <w:ilvl w:val="0"/>
          <w:numId w:val="3"/>
        </w:numPr>
        <w:spacing w:after="40" w:before="40"/>
        <w:jc w:val="both"/>
      </w:pPr>
      <w:r>
        <w:rPr>
          <w:sz w:val="22"/>
          <w:szCs w:val="22"/>
        </w:rPr>
        <w:t xml:space="preserve">Garantizar transferibilidad del documento entre niveles de atención.</w:t>
      </w:r>
    </w:p>
    <w:p>
      <w:pPr>
        <w:pStyle w:val="ListParagraph"/>
        <w:numPr>
          <w:ilvl w:val="0"/>
          <w:numId w:val="3"/>
        </w:numPr>
        <w:spacing w:after="40" w:before="40"/>
        <w:jc w:val="both"/>
      </w:pPr>
      <w:r>
        <w:rPr>
          <w:sz w:val="22"/>
          <w:szCs w:val="22"/>
        </w:rPr>
        <w:t xml:space="preserve">Evaluar resultados en términos de concordancia entre voluntad y atención recibida.</w:t>
      </w:r>
    </w:p>
    <w:p>
      <w:pPr>
        <w:pStyle w:val="ListParagraph"/>
        <w:numPr>
          <w:ilvl w:val="0"/>
          <w:numId w:val="3"/>
        </w:numPr>
        <w:spacing w:after="40" w:before="40"/>
        <w:jc w:val="both"/>
      </w:pPr>
      <w:r>
        <w:rPr>
          <w:sz w:val="22"/>
          <w:szCs w:val="22"/>
        </w:rPr>
        <w:t xml:space="preserve">Investigación continua sobre eficacia y barreras.</w:t>
      </w:r>
    </w:p>
    <w:p>
      <w:pPr>
        <w:pStyle w:val="Heading2"/>
        <w:spacing w:after="140" w:before="280"/>
      </w:pPr>
      <w:r>
        <w:rPr>
          <w:b/>
          <w:bCs/>
          <w:color w:val="1F4E79"/>
          <w:sz w:val="26"/>
          <w:szCs w:val="26"/>
        </w:rPr>
        <w:t xml:space="preserve">3.4. Estándares de la Organización Mundial de la Salud y la Organización Panamericana de la Salud</w:t>
      </w:r>
    </w:p>
    <w:p>
      <w:pPr>
        <w:pStyle w:val="ListParagraph"/>
        <w:numPr>
          <w:ilvl w:val="0"/>
          <w:numId w:val="2"/>
        </w:numPr>
        <w:spacing w:after="40" w:before="40"/>
        <w:jc w:val="both"/>
      </w:pPr>
      <w:r>
        <w:rPr>
          <w:sz w:val="22"/>
          <w:szCs w:val="22"/>
        </w:rPr>
        <w:t xml:space="preserve">Resolución CD62.R8 de la Organización Panamericana de la Salud (2025) · Plan de acción sobre enfermedades no transmisibles. Línea estratégica 2, párrafo 15: integración de cuidados paliativos en el sistema de salud.</w:t>
      </w:r>
    </w:p>
    <w:p>
      <w:pPr>
        <w:pStyle w:val="ListParagraph"/>
        <w:numPr>
          <w:ilvl w:val="0"/>
          <w:numId w:val="2"/>
        </w:numPr>
        <w:spacing w:after="40" w:before="40"/>
        <w:jc w:val="both"/>
      </w:pPr>
      <w:r>
        <w:rPr>
          <w:sz w:val="22"/>
          <w:szCs w:val="22"/>
        </w:rPr>
        <w:t xml:space="preserve">Escalera analgésica de la Organización Mundial de la Salud · base técnica para las cláusulas del DVA sobre manejo del dolor.</w:t>
      </w:r>
    </w:p>
    <w:p>
      <w:pPr>
        <w:pStyle w:val="ListParagraph"/>
        <w:numPr>
          <w:ilvl w:val="0"/>
          <w:numId w:val="2"/>
        </w:numPr>
        <w:spacing w:after="40" w:before="40"/>
        <w:jc w:val="both"/>
      </w:pPr>
      <w:r>
        <w:rPr>
          <w:sz w:val="22"/>
          <w:szCs w:val="22"/>
        </w:rPr>
        <w:t xml:space="preserve">Marco de planificación anticipada de cuidados de la Organización Panamericana de la Salud · documento técnico que articula DVA con planificación territorial.</w:t>
      </w:r>
    </w:p>
    <w:p>
      <w:r>
        <w:br w:type="page"/>
      </w:r>
    </w:p>
    <w:p>
      <w:pPr>
        <w:pStyle w:val="Heading1"/>
        <w:spacing w:after="180" w:before="360"/>
      </w:pPr>
      <w:r>
        <w:rPr>
          <w:b/>
          <w:bCs/>
          <w:color w:val="1F4E79"/>
          <w:sz w:val="32"/>
          <w:szCs w:val="32"/>
        </w:rPr>
        <w:t xml:space="preserve">4. Lista de verificación de 20 variables · estándar de calidad</w:t>
      </w:r>
    </w:p>
    <w:p>
      <w:pPr>
        <w:spacing w:after="80" w:before="80"/>
        <w:jc w:val="both"/>
      </w:pPr>
      <w:r>
        <w:rPr>
          <w:sz w:val="22"/>
          <w:szCs w:val="22"/>
        </w:rPr>
        <w:t xml:space="preserve">Esta es la herramienta metodológica central de la actividad. Adaptada del estudio Castro-Vargas et al. 2024. Cuatro categorías: validez Legal/normativa (L), contenido Clínico-Médico (M), preferencias Personales (P), Formalización y cumplimiento (F).</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w:t>
            </w:r>
          </w:p>
        </w:tc>
        <w:tc>
          <w:tcPr>
            <w:tcW w:type="dxa" w:w="69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Variable y categoría · L M P F</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1 (L)</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Datos completos de identificación del otorgante (nombre, documento, fecha de nacimiento, dirección, teléfono de contacto, datos de un familiar de referencia)</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2 (L)</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Declaración expresa de capacidad mental y pleno uso de facultades legales (referencia explícita a Ley 1996 de 2019)</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3 (L)</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Declaración expresa de ausencia de coacción, presión o influencia indebida</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4 (L)</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Manifestación de voluntad informada (referencia a información clínica recibida sobre la propia condición y las opciones disponibles)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5 (M)</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Decisiones específicas en al menos tres escenarios clínicos diferenciados (situación oncológica, neurológica, geriátrica, accidente, etc.)</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6 (L)</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Designación de representante legal o testigos cualificados con datos completos y consentimiento expreso de éstos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7 (M)</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Indicaciones explícitas sobre cuidados paliativos: aceptación, intensidad, integralidad de los cuatro componentes (manejo de síntomas, soporte psicológico, soporte social, soporte espiritual)</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8 (M)</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Indicaciones sobre adecuación del esfuerzo terapéutico: criterios para retirar o no iniciar tratamientos desproporcionados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9 (M)</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Indicaciones sobre manejo del dolor (referencia explícita a la escalera analgésica de la Organización Mundial de la Salud y a opioides)</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10 (M)</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Indicaciones sobre soporte vital: ventilación mecánica invasiva y no invasiva, vasopresores, hemodiálisis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11 (M)</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Indicaciones sobre nutrición e hidratación artificial (sonda nasogástrica, gastrostomía, vía parenteral)</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12 (M)</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Indicaciones sobre reanimación cardiopulmonar</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13 (M)</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Indicaciones sobre sedación paliativa proporcional en sufrimiento refractario</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14 (P)</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Disposiciones sobre donación de órganos, tejidos o componentes anatómicos (Ley 1805 de 2016, derecho de oposición a presunción)</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15 (P)</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Disposiciones funerarias y rituales preferidos</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16 (P)</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Apoyos espirituales, religiosos o existenciales requeridos durante el cuidado paliativo y al final de la vida</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17 (F)</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Modalidad de formalización elegida explícitamente (notario por escritura pública, dos testigos cualificados o médico tratante) con justificación de la elección</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18 (F)</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Cláusula explícita de revocabilidad y mecanismos operativos de modificación, sustitución y revocación (artículos 10° y 11° de la Resolución 2665)</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19 (F)</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Provisión expresa de anexión a la historia clínica del prestador y deber de reserva (artículo 13°)</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20 (F)</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Fecha, lugar y firma del otorgante (y de testigos o notario según modalidad)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200"/>
              <w:left w:type="dxa" w:w="240"/>
              <w:bottom w:type="dxa" w:w="200"/>
              <w:right w:type="dxa" w:w="240"/>
            </w:tcMar>
          </w:tcPr>
          <w:p>
            <w:pPr>
              <w:spacing w:after="100" w:before="0"/>
            </w:pPr>
            <w:r>
              <w:rPr>
                <w:b/>
                <w:bCs/>
                <w:color w:val="1F4E79"/>
                <w:sz w:val="22"/>
                <w:szCs w:val="22"/>
              </w:rPr>
              <w:t xml:space="preserve">Criterio de aprobación de la actividad</w:t>
            </w:r>
          </w:p>
          <w:p>
            <w:pPr>
              <w:jc w:val="both"/>
            </w:pPr>
            <w:r>
              <w:rPr>
                <w:sz w:val="21"/>
                <w:szCs w:val="21"/>
              </w:rPr>
              <w:t xml:space="preserve">Una plantilla individual del Momento 2 que cumpla las 20 variables operativamente (no enunciativamente) supera el techo del 70% identificado en el estudio Castro-Vargas et al. 2024 y sienta una contribucion pedagogica de la Maestria UAN al campo nacional. Una plantilla con menos de 14 variables operativas se considera insuficiente.</w:t>
            </w:r>
          </w:p>
        </w:tc>
      </w:tr>
    </w:tbl>
    <w:p>
      <w:r>
        <w:br w:type="page"/>
      </w:r>
    </w:p>
    <w:p>
      <w:pPr>
        <w:pStyle w:val="Heading1"/>
        <w:spacing w:after="180" w:before="360"/>
      </w:pPr>
      <w:r>
        <w:rPr>
          <w:b/>
          <w:bCs/>
          <w:color w:val="1F4E79"/>
          <w:sz w:val="32"/>
          <w:szCs w:val="32"/>
        </w:rPr>
        <w:t xml:space="preserve">5. Recomendaciones para la redacción</w:t>
      </w:r>
    </w:p>
    <w:p>
      <w:pPr>
        <w:pStyle w:val="Heading2"/>
        <w:spacing w:after="140" w:before="280"/>
      </w:pPr>
      <w:r>
        <w:rPr>
          <w:b/>
          <w:bCs/>
          <w:color w:val="1F4E79"/>
          <w:sz w:val="26"/>
          <w:szCs w:val="26"/>
        </w:rPr>
        <w:t xml:space="preserve">5.1. Cláusulas operativas, no enunciativas</w:t>
      </w:r>
    </w:p>
    <w:p>
      <w:pPr>
        <w:spacing w:after="80" w:before="80"/>
        <w:jc w:val="both"/>
      </w:pPr>
      <w:r>
        <w:rPr>
          <w:sz w:val="22"/>
          <w:szCs w:val="22"/>
        </w:rPr>
        <w:t xml:space="preserve">La diferencia fundamental entre un DVA mediocre y uno excelente está en el carácter operativo de sus cláusulas. Una cláusula enunciativa nombra el problema; una cláusula operativa entrega la decisión y permite la acción inmediata.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Cláusula enunciativa (insuficiente)</w:t>
            </w:r>
          </w:p>
        </w:tc>
        <w:tc>
          <w:tcPr>
            <w:tcW w:type="dxa" w:w="69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Cláusula operativa (suficiente)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«El otorgante manifiesta su voluntad sobre cuidados paliativos.»</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«El otorgante manifiesta que: (☐ acepta · ☐ rechaza) la sedación paliativa proporcional en caso de sufrimiento refractario, conforme escalera analgésica de la Organización Mundial de la Salud y la Guía de Práctica Clínica sobre Cuidados Paliativos – Adopción 2016 del Ministerio de Salud y Protección Social.»</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«El otorgante puede modificar este documento.»</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«El otorgante podrá modificar, sustituir o revocar este documento en cualquier momento mediante escrito formalizado por una de las modalidades del artículo 5° de la Resolución 2665 de 2018, dejando constancia de la fecha, modalidad anterior y sentido del cambio.»</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«El otorgante decide sobre soporte vital.»</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«En caso de necesitar soporte vital, el otorgante manifiesta que: en condición de irreversibilidad clínica acreditada por dos médicos especialistas: ☐ acepta · ☐ rechaza ventilación mecánica invasiva por más de [tiempo definido por el otorgante]; ☐ acepta · ☐ rechaza hemodiálisis aguda en falla renal sobre fondo de enfermedad terminal; ☐ acepta · ☐ rechaza vasopresores en shock séptico refractario.»</w:t>
            </w:r>
          </w:p>
        </w:tc>
      </w:tr>
    </w:tbl>
    <w:p>
      <w:pPr>
        <w:spacing w:after="120" w:before="120"/>
      </w:pPr>
      <w:r>
        <w:t xml:space="preserve"/>
      </w:r>
    </w:p>
    <w:p>
      <w:pPr>
        <w:pStyle w:val="Heading2"/>
        <w:spacing w:after="140" w:before="280"/>
      </w:pPr>
      <w:r>
        <w:rPr>
          <w:b/>
          <w:bCs/>
          <w:color w:val="1F4E79"/>
          <w:sz w:val="26"/>
          <w:szCs w:val="26"/>
        </w:rPr>
        <w:t xml:space="preserve">5.2. Tres escenarios clínicos diferenciados</w:t>
      </w:r>
    </w:p>
    <w:p>
      <w:pPr>
        <w:spacing w:after="80" w:before="80"/>
        <w:jc w:val="both"/>
      </w:pPr>
      <w:r>
        <w:rPr>
          <w:sz w:val="22"/>
          <w:szCs w:val="22"/>
        </w:rPr>
        <w:t xml:space="preserve">Una buena práctica internacional, recogida en el White Paper de la European Association for Palliative Care, es plantear las decisiones en escenarios diferenciados, ya que la voluntad puede variar según contexto:</w:t>
      </w:r>
    </w:p>
    <w:p>
      <w:pPr>
        <w:pStyle w:val="ListParagraph"/>
        <w:numPr>
          <w:ilvl w:val="0"/>
          <w:numId w:val="2"/>
        </w:numPr>
        <w:spacing w:after="40" w:before="40"/>
        <w:jc w:val="both"/>
      </w:pPr>
      <w:r>
        <w:rPr>
          <w:sz w:val="22"/>
          <w:szCs w:val="22"/>
        </w:rPr>
        <w:t xml:space="preserve">Escenario A · Enfermedad oncológica avanzada con sufrimiento refractario.</w:t>
      </w:r>
    </w:p>
    <w:p>
      <w:pPr>
        <w:pStyle w:val="ListParagraph"/>
        <w:numPr>
          <w:ilvl w:val="0"/>
          <w:numId w:val="2"/>
        </w:numPr>
        <w:spacing w:after="40" w:before="40"/>
        <w:jc w:val="both"/>
      </w:pPr>
      <w:r>
        <w:rPr>
          <w:sz w:val="22"/>
          <w:szCs w:val="22"/>
        </w:rPr>
        <w:t xml:space="preserve">Escenario B · Lesión neurológica grave con pérdida de conciencia (por evento cerebrovascular, traumatismo, demencia avanzada).</w:t>
      </w:r>
    </w:p>
    <w:p>
      <w:pPr>
        <w:pStyle w:val="ListParagraph"/>
        <w:numPr>
          <w:ilvl w:val="0"/>
          <w:numId w:val="2"/>
        </w:numPr>
        <w:spacing w:after="40" w:before="40"/>
        <w:jc w:val="both"/>
      </w:pPr>
      <w:r>
        <w:rPr>
          <w:sz w:val="22"/>
          <w:szCs w:val="22"/>
        </w:rPr>
        <w:t xml:space="preserve">Escenario C · Fragilidad geriátrica con falla orgánica progresiva.</w:t>
      </w:r>
    </w:p>
    <w:p>
      <w:pPr>
        <w:spacing w:after="80" w:before="80"/>
        <w:jc w:val="both"/>
      </w:pPr>
      <w:r>
        <w:rPr>
          <w:sz w:val="22"/>
          <w:szCs w:val="22"/>
        </w:rPr>
        <w:t xml:space="preserve">Para cada escenario, el documento debe permitir al otorgante manifestar preferencias sobre: cuidados paliativos, manejo del dolor, soporte vital, nutrición e hidratación, reanimación, sedación. Es decir, las variables 5 a 13 se aplican TRES VECES, una por escenario.</w:t>
      </w:r>
    </w:p>
    <w:p>
      <w:pPr>
        <w:pStyle w:val="Heading2"/>
        <w:spacing w:after="140" w:before="280"/>
      </w:pPr>
      <w:r>
        <w:rPr>
          <w:b/>
          <w:bCs/>
          <w:color w:val="1F4E79"/>
          <w:sz w:val="26"/>
          <w:szCs w:val="26"/>
        </w:rPr>
        <w:t xml:space="preserve">5.3. Articulación con apoyos interpretativos (T-438 de 2025)</w:t>
      </w:r>
    </w:p>
    <w:p>
      <w:pPr>
        <w:spacing w:after="80" w:before="80"/>
        <w:jc w:val="both"/>
      </w:pPr>
      <w:r>
        <w:rPr>
          <w:sz w:val="22"/>
          <w:szCs w:val="22"/>
        </w:rPr>
        <w:t xml:space="preserve">La Sentencia T-438 de 2025 introdujo la categoría de «apoyos interpretativos de la voluntad», que opera cuando la persona ha perdido capacidad. Para que la futura interpretación sea fiel, el DVA debe incluir:</w:t>
      </w:r>
    </w:p>
    <w:p>
      <w:pPr>
        <w:pStyle w:val="ListParagraph"/>
        <w:numPr>
          <w:ilvl w:val="0"/>
          <w:numId w:val="2"/>
        </w:numPr>
        <w:spacing w:after="40" w:before="40"/>
        <w:jc w:val="both"/>
      </w:pPr>
      <w:r>
        <w:rPr>
          <w:sz w:val="22"/>
          <w:szCs w:val="22"/>
        </w:rPr>
        <w:t xml:space="preserve">Carta de razones · explicación del por qué de las decisiones tomadas, valores que las fundamentan, miedos y esperanzas. No tiene fuerza vinculante per se pero facilita la interpretación.</w:t>
      </w:r>
    </w:p>
    <w:p>
      <w:pPr>
        <w:pStyle w:val="ListParagraph"/>
        <w:numPr>
          <w:ilvl w:val="0"/>
          <w:numId w:val="2"/>
        </w:numPr>
        <w:spacing w:after="40" w:before="40"/>
        <w:jc w:val="both"/>
      </w:pPr>
      <w:r>
        <w:rPr>
          <w:sz w:val="22"/>
          <w:szCs w:val="22"/>
        </w:rPr>
        <w:t xml:space="preserve">Lista de personas de confianza para consulta · familiares, amigos, profesionales con quienes el otorgante ha conversado sus preferencias.</w:t>
      </w:r>
    </w:p>
    <w:p>
      <w:pPr>
        <w:pStyle w:val="ListParagraph"/>
        <w:numPr>
          <w:ilvl w:val="0"/>
          <w:numId w:val="2"/>
        </w:numPr>
        <w:spacing w:after="40" w:before="40"/>
        <w:jc w:val="both"/>
      </w:pPr>
      <w:r>
        <w:rPr>
          <w:sz w:val="22"/>
          <w:szCs w:val="22"/>
        </w:rPr>
        <w:t xml:space="preserve">Trayectoria vital relevante · experiencias previas (propias o de personas cercanas) que han modelado las decisiones del otorgante. Esto permite reconstruir voluntad ante ambigüedades.</w:t>
      </w:r>
    </w:p>
    <w:p>
      <w:pPr>
        <w:pStyle w:val="Heading2"/>
        <w:spacing w:after="140" w:before="280"/>
      </w:pPr>
      <w:r>
        <w:rPr>
          <w:b/>
          <w:bCs/>
          <w:color w:val="1F4E79"/>
          <w:sz w:val="26"/>
          <w:szCs w:val="26"/>
        </w:rPr>
        <w:t xml:space="preserve">5.4. Lenguaje claro y accesible</w:t>
      </w:r>
    </w:p>
    <w:p>
      <w:pPr>
        <w:spacing w:after="80" w:before="80"/>
        <w:jc w:val="both"/>
      </w:pPr>
      <w:r>
        <w:rPr>
          <w:sz w:val="22"/>
          <w:szCs w:val="22"/>
        </w:rPr>
        <w:t xml:space="preserve">La Resolución 2665, en su artículo 9°, prevé adecuaciones para personas que no pueden o no saben leer/firmar, y para quienes no conocen suficientemente el castellano. La buena práctica va más allá: usar lenguaje claro (no jurídico-técnico) en el cuerpo principal y reservar las referencias normativas para anexos. Permitir glosario al final del documento. Diseñar tipográficamente para legibilidad.</w:t>
      </w:r>
    </w:p>
    <w:p>
      <w:r>
        <w:br w:type="page"/>
      </w:r>
    </w:p>
    <w:p>
      <w:pPr>
        <w:pStyle w:val="Heading1"/>
        <w:spacing w:after="180" w:before="360"/>
      </w:pPr>
      <w:r>
        <w:rPr>
          <w:b/>
          <w:bCs/>
          <w:color w:val="1F4E79"/>
          <w:sz w:val="32"/>
          <w:szCs w:val="32"/>
        </w:rPr>
        <w:t xml:space="preserve">6. Errores frecuentes y cómo evitarlos</w:t>
      </w:r>
    </w:p>
    <w:p>
      <w:pPr>
        <w:spacing w:after="80" w:before="80"/>
        <w:jc w:val="both"/>
      </w:pPr>
      <w:r>
        <w:rPr>
          <w:sz w:val="22"/>
          <w:szCs w:val="22"/>
        </w:rPr>
        <w:t xml:space="preserve">Errores documentados en formularios actualmente en circulación, identificados por Castro-Vargas et al. 2024 y por la jurisprudencia constitucional reciente: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Error frecuente</w:t>
            </w:r>
          </w:p>
        </w:tc>
        <w:tc>
          <w:tcPr>
            <w:tcW w:type="dxa" w:w="69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b/>
                <w:bCs/>
                <w:color w:val="FFFFFF"/>
                <w:sz w:val="20"/>
                <w:szCs w:val="20"/>
              </w:rPr>
              <w:t xml:space="preserve">Corrección recomendada</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Formularios genéricos sin escenarios diferenciados</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Estructurar las decisiones clínicas en al menos tres escenarios distintos (oncológico, neurológico, geriátrico).</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Uso exclusivo del verbo «desear» (preferencia subjetiva)</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Combinar «desear» con «aceptar/rechazar», que tiene fuerza decisoria operativa para el equipo tratante.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Ausencia de articulación con la historia clínica</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Incluir cláusula expresa de anexión a la historia clínica de todos los prestadores que atiendan al otorgante (artículo 13° Resolución 2665).</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Modalidad de formalización implícita</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Elegir explícitamente UNA modalidad y firmar conforme sus requisitos formales específicos.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Confusión DVA / consentimiento informado / solicitud de eutanasia</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Distinguir conceptualmente cada figura. El DVA NO es solicitud de eutanasia ni consentimiento para una intervención específica.</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Olvido del régimen de revocabilidad operativa</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Incluir cláusula que detalle CÓMO se revoca, no solo QUE se puede revocar.</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bCs/>
                <w:color w:val="1A1A1A"/>
                <w:sz w:val="20"/>
                <w:szCs w:val="20"/>
              </w:rPr>
              <w:t xml:space="preserve">Identificación insuficiente de testigos en modalidad sin notario</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b w:val="false"/>
                <w:bCs w:val="false"/>
                <w:color w:val="1A1A1A"/>
                <w:sz w:val="20"/>
                <w:szCs w:val="20"/>
              </w:rPr>
              <w:t xml:space="preserve">En modalidad de dos testigos: nombre completo, documento de identidad, dirección, teléfono y declaración expresa de cumplimiento de los requisitos del artículo 7°.</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bCs/>
                <w:color w:val="1A1A1A"/>
                <w:sz w:val="20"/>
                <w:szCs w:val="20"/>
              </w:rPr>
              <w:t xml:space="preserve">No registro de la voluntad sobre donación de órganos</w:t>
            </w:r>
          </w:p>
        </w:tc>
        <w:tc>
          <w:tcPr>
            <w:tcW w:type="dxa" w:w="69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r>
              <w:rPr>
                <w:b w:val="false"/>
                <w:bCs w:val="false"/>
                <w:color w:val="1A1A1A"/>
                <w:sz w:val="20"/>
                <w:szCs w:val="20"/>
              </w:rPr>
              <w:t xml:space="preserve">Incluir cláusula expresa de aceptación o oposición conforme Ley 1805 de 2016 (presunción legal de donación con derecho a oposición).</w:t>
            </w:r>
          </w:p>
        </w:tc>
      </w:tr>
    </w:tbl>
    <w:p>
      <w:pPr>
        <w:spacing w:after="120" w:before="120"/>
      </w:pPr>
      <w:r>
        <w:t xml:space="preserve"/>
      </w:r>
    </w:p>
    <w:p>
      <w:pPr>
        <w:pStyle w:val="Heading1"/>
        <w:spacing w:after="180" w:before="360"/>
      </w:pPr>
      <w:r>
        <w:rPr>
          <w:b/>
          <w:bCs/>
          <w:color w:val="1F4E79"/>
          <w:sz w:val="32"/>
          <w:szCs w:val="32"/>
        </w:rPr>
        <w:t xml:space="preserve">7. Bibliografía y fuentes consultadas</w:t>
      </w:r>
    </w:p>
    <w:p>
      <w:pPr>
        <w:pStyle w:val="Heading3"/>
        <w:spacing w:after="100" w:before="200"/>
      </w:pPr>
      <w:r>
        <w:rPr>
          <w:b/>
          <w:bCs/>
          <w:color w:val="C00000"/>
          <w:sz w:val="23"/>
          <w:szCs w:val="23"/>
        </w:rPr>
        <w:t xml:space="preserve">Normativa colombiana</w:t>
      </w:r>
    </w:p>
    <w:p>
      <w:pPr>
        <w:pStyle w:val="ListParagraph"/>
        <w:numPr>
          <w:ilvl w:val="0"/>
          <w:numId w:val="2"/>
        </w:numPr>
        <w:spacing w:after="40" w:before="40"/>
        <w:jc w:val="both"/>
      </w:pPr>
      <w:r>
        <w:rPr>
          <w:sz w:val="22"/>
          <w:szCs w:val="22"/>
        </w:rPr>
        <w:t xml:space="preserve">Resolución 2665 de 2018, Ministerio de Salud y Protección Social.</w:t>
      </w:r>
    </w:p>
    <w:p>
      <w:pPr>
        <w:pStyle w:val="ListParagraph"/>
        <w:numPr>
          <w:ilvl w:val="0"/>
          <w:numId w:val="2"/>
        </w:numPr>
        <w:spacing w:after="40" w:before="40"/>
        <w:jc w:val="both"/>
      </w:pPr>
      <w:r>
        <w:rPr>
          <w:sz w:val="22"/>
          <w:szCs w:val="22"/>
        </w:rPr>
        <w:t xml:space="preserve">Ley 1733 de 2014, Ley Consuelo Devis Saavedra.</w:t>
      </w:r>
    </w:p>
    <w:p>
      <w:pPr>
        <w:pStyle w:val="ListParagraph"/>
        <w:numPr>
          <w:ilvl w:val="0"/>
          <w:numId w:val="2"/>
        </w:numPr>
        <w:spacing w:after="40" w:before="40"/>
        <w:jc w:val="both"/>
      </w:pPr>
      <w:r>
        <w:rPr>
          <w:sz w:val="22"/>
          <w:szCs w:val="22"/>
        </w:rPr>
        <w:t xml:space="preserve">Ley Estatutaria 1751 de 2015.</w:t>
      </w:r>
    </w:p>
    <w:p>
      <w:pPr>
        <w:pStyle w:val="ListParagraph"/>
        <w:numPr>
          <w:ilvl w:val="0"/>
          <w:numId w:val="2"/>
        </w:numPr>
        <w:spacing w:after="40" w:before="40"/>
        <w:jc w:val="both"/>
      </w:pPr>
      <w:r>
        <w:rPr>
          <w:sz w:val="22"/>
          <w:szCs w:val="22"/>
        </w:rPr>
        <w:t xml:space="preserve">Ley 1996 de 2019.</w:t>
      </w:r>
    </w:p>
    <w:p>
      <w:pPr>
        <w:pStyle w:val="ListParagraph"/>
        <w:numPr>
          <w:ilvl w:val="0"/>
          <w:numId w:val="2"/>
        </w:numPr>
        <w:spacing w:after="40" w:before="40"/>
        <w:jc w:val="both"/>
      </w:pPr>
      <w:r>
        <w:rPr>
          <w:sz w:val="22"/>
          <w:szCs w:val="22"/>
        </w:rPr>
        <w:t xml:space="preserve">Ley 1805 de 2016.</w:t>
      </w:r>
    </w:p>
    <w:p>
      <w:pPr>
        <w:pStyle w:val="ListParagraph"/>
        <w:numPr>
          <w:ilvl w:val="0"/>
          <w:numId w:val="2"/>
        </w:numPr>
        <w:spacing w:after="40" w:before="40"/>
        <w:jc w:val="both"/>
      </w:pPr>
      <w:r>
        <w:rPr>
          <w:sz w:val="22"/>
          <w:szCs w:val="22"/>
        </w:rPr>
        <w:t xml:space="preserve">Ley 1346 de 2009 (aprobatoria de la Convención sobre los Derechos de las Personas con Discapacidad).</w:t>
      </w:r>
    </w:p>
    <w:p>
      <w:pPr>
        <w:pStyle w:val="ListParagraph"/>
        <w:numPr>
          <w:ilvl w:val="0"/>
          <w:numId w:val="2"/>
        </w:numPr>
        <w:spacing w:after="40" w:before="40"/>
        <w:jc w:val="both"/>
      </w:pPr>
      <w:r>
        <w:rPr>
          <w:sz w:val="22"/>
          <w:szCs w:val="22"/>
        </w:rPr>
        <w:t xml:space="preserve">Ley 2055 de 2020 (aprobatoria de la Convención Interamericana A-70).</w:t>
      </w:r>
    </w:p>
    <w:p>
      <w:pPr>
        <w:pStyle w:val="ListParagraph"/>
        <w:numPr>
          <w:ilvl w:val="0"/>
          <w:numId w:val="2"/>
        </w:numPr>
        <w:spacing w:after="40" w:before="40"/>
        <w:jc w:val="both"/>
      </w:pPr>
      <w:r>
        <w:rPr>
          <w:sz w:val="22"/>
          <w:szCs w:val="22"/>
        </w:rPr>
        <w:t xml:space="preserve">Resolución 813 de 2026, Ministerio de Salud y Protección Social.</w:t>
      </w:r>
    </w:p>
    <w:p>
      <w:pPr>
        <w:pStyle w:val="Heading3"/>
        <w:spacing w:after="100" w:before="200"/>
      </w:pPr>
      <w:r>
        <w:rPr>
          <w:b/>
          <w:bCs/>
          <w:color w:val="C00000"/>
          <w:sz w:val="23"/>
          <w:szCs w:val="23"/>
        </w:rPr>
        <w:t xml:space="preserve">Jurisprudencia</w:t>
      </w:r>
    </w:p>
    <w:p>
      <w:pPr>
        <w:pStyle w:val="ListParagraph"/>
        <w:numPr>
          <w:ilvl w:val="0"/>
          <w:numId w:val="2"/>
        </w:numPr>
        <w:spacing w:after="40" w:before="40"/>
        <w:jc w:val="both"/>
      </w:pPr>
      <w:r>
        <w:rPr>
          <w:sz w:val="22"/>
          <w:szCs w:val="22"/>
        </w:rPr>
        <w:t xml:space="preserve">Corte Constitucional, Sentencia C-233 de 2014, Magistrado ponente Alberto Rojas Ríos.</w:t>
      </w:r>
    </w:p>
    <w:p>
      <w:pPr>
        <w:pStyle w:val="ListParagraph"/>
        <w:numPr>
          <w:ilvl w:val="0"/>
          <w:numId w:val="2"/>
        </w:numPr>
        <w:spacing w:after="40" w:before="40"/>
        <w:jc w:val="both"/>
      </w:pPr>
      <w:r>
        <w:rPr>
          <w:sz w:val="22"/>
          <w:szCs w:val="22"/>
        </w:rPr>
        <w:t xml:space="preserve">Corte Constitucional, Sentencia C-395 de 2021.</w:t>
      </w:r>
    </w:p>
    <w:p>
      <w:pPr>
        <w:pStyle w:val="ListParagraph"/>
        <w:numPr>
          <w:ilvl w:val="0"/>
          <w:numId w:val="2"/>
        </w:numPr>
        <w:spacing w:after="40" w:before="40"/>
        <w:jc w:val="both"/>
      </w:pPr>
      <w:r>
        <w:rPr>
          <w:sz w:val="22"/>
          <w:szCs w:val="22"/>
        </w:rPr>
        <w:t xml:space="preserve">Corte Constitucional, Sentencia T-438 de 2025, Magistrada ponente Natalia Ángel Cabo.</w:t>
      </w:r>
    </w:p>
    <w:p>
      <w:pPr>
        <w:pStyle w:val="ListParagraph"/>
        <w:numPr>
          <w:ilvl w:val="0"/>
          <w:numId w:val="2"/>
        </w:numPr>
        <w:spacing w:after="40" w:before="40"/>
        <w:jc w:val="both"/>
      </w:pPr>
      <w:r>
        <w:rPr>
          <w:sz w:val="22"/>
          <w:szCs w:val="22"/>
        </w:rPr>
        <w:t xml:space="preserve">Corte Constitucional, Sentencia T-289 de 2025, Magistrado ponente Miguel Polo Rosero.</w:t>
      </w:r>
    </w:p>
    <w:p>
      <w:pPr>
        <w:pStyle w:val="Heading3"/>
        <w:spacing w:after="100" w:before="200"/>
      </w:pPr>
      <w:r>
        <w:rPr>
          <w:b/>
          <w:bCs/>
          <w:color w:val="C00000"/>
          <w:sz w:val="23"/>
          <w:szCs w:val="23"/>
        </w:rPr>
        <w:t xml:space="preserve">Literatura científica</w:t>
      </w:r>
    </w:p>
    <w:p>
      <w:pPr>
        <w:pStyle w:val="ListParagraph"/>
        <w:numPr>
          <w:ilvl w:val="0"/>
          <w:numId w:val="2"/>
        </w:numPr>
        <w:spacing w:after="40" w:before="40"/>
        <w:jc w:val="both"/>
      </w:pPr>
      <w:r>
        <w:rPr>
          <w:sz w:val="22"/>
          <w:szCs w:val="22"/>
        </w:rPr>
        <w:t xml:space="preserve">Castro-Vargas, Castaño-Castrillón y Riveros-Pérez (2024). Contenido de los formularios del Documento de Voluntades Anticipadas en Colombia. Colombian Journal of Anesthesiology, 52, e1093.</w:t>
      </w:r>
    </w:p>
    <w:p>
      <w:pPr>
        <w:pStyle w:val="ListParagraph"/>
        <w:numPr>
          <w:ilvl w:val="0"/>
          <w:numId w:val="2"/>
        </w:numPr>
        <w:spacing w:after="40" w:before="40"/>
        <w:jc w:val="both"/>
      </w:pPr>
      <w:r>
        <w:rPr>
          <w:sz w:val="22"/>
          <w:szCs w:val="22"/>
        </w:rPr>
        <w:t xml:space="preserve">Rietjens, Sudore, Connolly et al. (2017). Definition and recommendations for advance care planning: an international consensus supported by the European Association for Palliative Care. The Lancet Oncology, 18(9): e543-e551.</w:t>
      </w:r>
    </w:p>
    <w:p>
      <w:pPr>
        <w:pStyle w:val="ListParagraph"/>
        <w:numPr>
          <w:ilvl w:val="0"/>
          <w:numId w:val="2"/>
        </w:numPr>
        <w:spacing w:after="40" w:before="40"/>
        <w:jc w:val="both"/>
      </w:pPr>
      <w:r>
        <w:rPr>
          <w:sz w:val="22"/>
          <w:szCs w:val="22"/>
        </w:rPr>
        <w:t xml:space="preserve">Ministerio de Salud y Protección Social. (2018). ABECÉ Documento de Voluntad Anticipada.</w:t>
      </w:r>
    </w:p>
    <w:p>
      <w:pPr>
        <w:pStyle w:val="ListParagraph"/>
        <w:numPr>
          <w:ilvl w:val="0"/>
          <w:numId w:val="2"/>
        </w:numPr>
        <w:spacing w:after="40" w:before="40"/>
        <w:jc w:val="both"/>
      </w:pPr>
      <w:r>
        <w:rPr>
          <w:sz w:val="22"/>
          <w:szCs w:val="22"/>
        </w:rPr>
        <w:t xml:space="preserve">Ministerio de Salud y Protección Social, Instituto de Evaluación Tecnológica en Salud, Instituto Nacional de Cancerología (2016). Guía de Práctica Clínica sobre Cuidados Paliativos – Adopción.</w:t>
      </w:r>
    </w:p>
    <w:p>
      <w:pPr>
        <w:pStyle w:val="Heading3"/>
        <w:spacing w:after="100" w:before="200"/>
      </w:pPr>
      <w:r>
        <w:rPr>
          <w:b/>
          <w:bCs/>
          <w:color w:val="C00000"/>
          <w:sz w:val="23"/>
          <w:szCs w:val="23"/>
        </w:rPr>
        <w:t xml:space="preserve">Recursos en línea</w:t>
      </w:r>
    </w:p>
    <w:p>
      <w:pPr>
        <w:pStyle w:val="ListParagraph"/>
        <w:numPr>
          <w:ilvl w:val="0"/>
          <w:numId w:val="2"/>
        </w:numPr>
        <w:spacing w:after="40" w:before="40"/>
        <w:jc w:val="both"/>
      </w:pPr>
      <w:r>
        <w:rPr>
          <w:sz w:val="22"/>
          <w:szCs w:val="22"/>
        </w:rPr>
        <w:t xml:space="preserve">Resolución 2665 de 2018: https://www.minsalud.gov.co/Normatividad_Nuevo/Resoluci%C3%B3n%20No.%202665%20de%202018.pdf</w:t>
      </w:r>
    </w:p>
    <w:p>
      <w:pPr>
        <w:pStyle w:val="ListParagraph"/>
        <w:numPr>
          <w:ilvl w:val="0"/>
          <w:numId w:val="2"/>
        </w:numPr>
        <w:spacing w:after="40" w:before="40"/>
        <w:jc w:val="both"/>
      </w:pPr>
      <w:r>
        <w:rPr>
          <w:sz w:val="22"/>
          <w:szCs w:val="22"/>
        </w:rPr>
        <w:t xml:space="preserve">ABECÉ DVA MinSalud: https://www.minsalud.gov.co/sites/rid/lists/bibliotecadigital/ride/vs/pp/abece-voluntad-anticipada.pdf</w:t>
      </w:r>
    </w:p>
    <w:p>
      <w:pPr>
        <w:pStyle w:val="ListParagraph"/>
        <w:numPr>
          <w:ilvl w:val="0"/>
          <w:numId w:val="2"/>
        </w:numPr>
        <w:spacing w:after="40" w:before="40"/>
        <w:jc w:val="both"/>
      </w:pPr>
      <w:r>
        <w:rPr>
          <w:sz w:val="22"/>
          <w:szCs w:val="22"/>
        </w:rPr>
        <w:t xml:space="preserve">Estudio Castro-Vargas et al. 2024: https://www.revcolanest.com.co/index.php/rca/article/download/1093/2373/4206</w:t>
      </w:r>
    </w:p>
    <w:p>
      <w:pPr>
        <w:pStyle w:val="ListParagraph"/>
        <w:numPr>
          <w:ilvl w:val="0"/>
          <w:numId w:val="2"/>
        </w:numPr>
        <w:spacing w:after="40" w:before="40"/>
        <w:jc w:val="both"/>
      </w:pPr>
      <w:r>
        <w:rPr>
          <w:sz w:val="22"/>
          <w:szCs w:val="22"/>
        </w:rPr>
        <w:t xml:space="preserve">Plataforma DMD Colombia (referencia comparativa): https://dmd.org.co/dva-digital/</w:t>
      </w:r>
    </w:p>
    <w:p>
      <w:pPr>
        <w:spacing w:after="120" w:before="120"/>
      </w:pPr>
      <w:r>
        <w:t xml:space="preserve"/>
      </w:r>
    </w:p>
    <w:p>
      <w:pPr>
        <w:spacing w:after="120" w:before="120"/>
      </w:pPr>
      <w:r>
        <w:t xml:space="preserve"/>
      </w:r>
    </w:p>
    <w:p>
      <w:pPr>
        <w:spacing w:before="400"/>
        <w:jc w:val="center"/>
      </w:pPr>
      <w:r>
        <w:rPr>
          <w:i/>
          <w:iCs/>
          <w:color w:val="595959"/>
          <w:sz w:val="20"/>
          <w:szCs w:val="20"/>
        </w:rPr>
        <w:t xml:space="preserve">— Fin del documento de fundamentación —</w:t>
      </w:r>
    </w:p>
    <w:p>
      <w:pPr>
        <w:spacing w:before="200"/>
        <w:jc w:val="center"/>
      </w:pPr>
      <w:r>
        <w:rPr>
          <w:color w:val="595959"/>
          <w:sz w:val="18"/>
          <w:szCs w:val="18"/>
        </w:rPr>
        <w:t xml:space="preserve">Cierre documental: 7 de mayo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 Curso 37542001 · Profesor Jorge Bogoya López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Fundamentación DVA · UAN 2026-I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2026-05-07T23:35:52.814Z</dcterms:created>
  <dcterms:modified xsi:type="dcterms:W3CDTF">2026-05-07T23:35:52.814Z</dcterms:modified>
</cp:coreProperties>
</file>

<file path=docProps/custom.xml><?xml version="1.0" encoding="utf-8"?>
<Properties xmlns="http://schemas.openxmlformats.org/officeDocument/2006/custom-properties" xmlns:vt="http://schemas.openxmlformats.org/officeDocument/2006/docPropsVTypes"/>
</file>