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809"/>
          <w:tab w:val="left" w:leader="none" w:pos="10009"/>
        </w:tabs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VICERRECTORÍA ACADÉMICA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809"/>
          <w:tab w:val="left" w:leader="none" w:pos="10009"/>
        </w:tabs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FACULTAD DE ENFERMERÍA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809"/>
          <w:tab w:val="left" w:leader="none" w:pos="10009"/>
        </w:tabs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PROGRAMADOR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3.0" w:type="dxa"/>
        <w:jc w:val="left"/>
        <w:tblInd w:w="-2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1"/>
        <w:gridCol w:w="1482"/>
        <w:gridCol w:w="1841"/>
        <w:gridCol w:w="3176"/>
        <w:gridCol w:w="2103"/>
        <w:tblGridChange w:id="0">
          <w:tblGrid>
            <w:gridCol w:w="1171"/>
            <w:gridCol w:w="1482"/>
            <w:gridCol w:w="1841"/>
            <w:gridCol w:w="3176"/>
            <w:gridCol w:w="2103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</w:tcBorders>
            <w:shd w:fill="19387d" w:val="clea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rtl w:val="0"/>
              </w:rPr>
              <w:t xml:space="preserve">Datos de identificación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 xml:space="preserve">Programa: 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Maestría en Cuidados Paliativos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Asignatura: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Seminario de fundamentación en cuidados paliativos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 xml:space="preserve">Código:  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32264001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Plan de estudios: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3660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Número de Créditos dentro del Plan de Estudios: 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Fecha de actualización: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Agosto de 2026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</w:rPr>
              <w:t>Horas Totales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/>
              <w:t>192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hAnsi="Verdana"/>
                <w:b/>
              </w:rPr>
              <w:t>Horas presenciales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</w:rPr>
            </w:pPr>
            <w:r>
              <w:rPr/>
              <w:t>48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hAnsi="Verdana"/>
                <w:b/>
              </w:rPr>
              <w:t>Horas de trabajo independiente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</w:rPr>
            </w:pPr>
            <w:r>
              <w:rPr/>
              <w:t>144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hAnsi="Verdana"/>
                <w:b/>
              </w:rPr>
              <w:t>Horas teóricas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</w:rPr>
            </w:pPr>
            <w:r>
              <w:rPr/>
              <w:t>48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hAnsi="Verdana"/>
                <w:b/>
              </w:rPr>
              <w:t>Horas prácticas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</w:rPr>
            </w:pPr>
            <w:r>
              <w:rPr/>
              <w:t>0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shd w:fill="19387d" w:val="clea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Contenidos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19387d" w:val="clear"/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Semana No</w:t>
            </w:r>
          </w:p>
        </w:tc>
        <w:tc>
          <w:tcPr>
            <w:shd w:fill="19387d" w:val="clear"/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gridSpan w:val="2"/>
            <w:shd w:fill="19387d" w:val="clear"/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Tema</w:t>
            </w:r>
          </w:p>
        </w:tc>
        <w:tc>
          <w:tcPr>
            <w:shd w:fill="19387d" w:val="clear"/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21/08/2026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8:00-9:00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Encuentro presencial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Presentación del espacio académico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Unidad 1. Contexto Histórico-filosófico y lineamientos sociopolíticos de los cuidados paliativos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1. Antecedentes históricos de los cuidados paliativos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21/08/2026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9:00-10:00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1. Aspectos históricos, desarrollo y tendencias de los cuidados paliativos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21/08/2026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10:00-11:00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1. Fundamentos filosóficos de los cuidados paliativos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04/09/2026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8:00-9:00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Encuentro sincrónico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2. Lineamientos y políticas mundiales de los cuidados paliativos (OMS, Banco Mundial, BID, OCDE, IAHPC, SECPAL)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04/09/2026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9:00-10:00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2. Lineamientos y políticas en cuidados paliativos a nivel latinoamericano (OPS, CEPAL, ALCP)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04/09/2026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10:00-11:00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2. Lineamientos y políticas en cuidados paliativos en Colombia (PAIS, Modelo Preventivo y resolutivo, RIAS)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18/09/2026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8:00-9:00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Encuentro presencial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Tema 3. Marco legal de los cuidados paliativos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Legislación Internacional y Latinoamérica en cuidados paliativos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18/09/2026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9:00-10:00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Tema 3. Legislación Nacional alrededor de los cuidados paliativos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Enfoque de derechos humanos en cuidados paliativos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18/09/2026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10:00-11:00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3. Barreras de acceso en el contexto de cuidado paliativo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Entrega Primer Producto 35 %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02/10/2026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8:00-9:00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Encuentro sincrónico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Unidad 2. Modelos de atención en cuidados paliativos desde la investigación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Tema 1. Modelos tradicionales vs. alternativos de atención en unidades de cuidados paliativos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02/10/2026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9:00-10:00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Tema 1. Lectura crítica de la evidencia que sustenta cada modelo de atención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02/10/2026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10:00-11:00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2. Incorporación de telesalud y tecnologías digitales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16/10/2026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8:00-9:00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Encuentro presencial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3. Enfoques diferenciales: servicio domiciliario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16/10/2026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9:00-10:00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1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Tema 3. Enfoques diferenciales: servicio institucional y comunitario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16/10/2026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10:00-11:00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3. Cierre de la unidad y discusión de casos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Entrega Segundo Producto 35 %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30/10/2026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8:00-9:00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Encuentro sincrónico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Unidad 3. Aspectos bioéticos y experiencias de manejo integral en cuidado paliativo desde la investigación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1. Modelos de atención bioética en cuidado paliativo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30/10/2026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9:00-10:00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1. Aspectos relevantes de los dilemas éticos en cuidado paliativo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30/10/2026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10:00-11:00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1. Planificación anticipada de la atención y decisiones de cuidado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Aspectos legales y directrices anticipadas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13/11/2026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Encuentro de investigación — sustentaciones de tesis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(Solo para estudiantes de Tesis II. No corresponde a este espacio académico)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20/11/2026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8:00-9:00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Encuentro presencial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2. Estrategias y experiencias de manejo integral en cuidado paliativo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Funciones del equipo interprofesional y liderazgo colaborativo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20/11/2026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9:00-10:00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2. Coordinación de recursos comunitarios y redes de apoyo</w:t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Programas de manejo exitosos en cuidado paliativo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20/11/2026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10:00-11:00 am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Cierre del espacio académico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Entrega Producto Final 30 %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</w:tbl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>
      <w:r>
        <w:rPr>
          <w:i/>
          <w:sz w:val="16"/>
        </w:rPr>
        <w:t>Nota. La programación sigue el calendario oficial de encuentros académicos 2026-II de la Maestría (comunicación de la Dirección) y la franja del seminario, viernes de 8:00 a 11:00. Sobre esa base el semestre ofrece siete sesiones. Quedan dos puntos por confirmar con la Dirección: (1) el encuentro del 8 de agosto de 2026 cae en sábado, único del semestre sin viernes, por lo que no se programó como sesión de este espacio académico; de confirmarse, las sesiones pasarían a ocho y la telesalud recuperaría tema propio. (2) Las 48 horas presenciales declaradas en el contenido programático corresponden a 21 horas de encuentro efectivas (7 × 3 h); se registran las declaradas por coherencia con el contenido programático aprobado.</w:t>
      </w:r>
    </w:p>
    <w:sectPr>
      <w:headerReference r:id="rId7" w:type="default"/>
      <w:footerReference r:id="rId8" w:type="default"/>
      <w:pgSz w:h="15840" w:w="12240" w:orient="portrait"/>
      <w:pgMar w:bottom="1701" w:top="170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-1304924</wp:posOffset>
          </wp:positionH>
          <wp:positionV relativeFrom="paragraph">
            <wp:posOffset>-447674</wp:posOffset>
          </wp:positionV>
          <wp:extent cx="8006811" cy="10079182"/>
          <wp:effectExtent b="0" l="0" r="0" t="0"/>
          <wp:wrapNone/>
          <wp:docPr id="18837940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6811" cy="1007918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9392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9392C"/>
  </w:style>
  <w:style w:type="paragraph" w:styleId="Piedepgina">
    <w:name w:val="footer"/>
    <w:basedOn w:val="Normal"/>
    <w:link w:val="PiedepginaCar"/>
    <w:uiPriority w:val="99"/>
    <w:unhideWhenUsed w:val="1"/>
    <w:rsid w:val="00A9392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9392C"/>
  </w:style>
  <w:style w:type="paragraph" w:styleId="NormalWeb">
    <w:name w:val="Normal (Web)"/>
    <w:basedOn w:val="Normal"/>
    <w:rsid w:val="000B47C0"/>
    <w:pPr>
      <w:spacing w:after="100" w:before="100" w:line="240" w:lineRule="auto"/>
    </w:pPr>
    <w:rPr>
      <w:rFonts w:ascii="Arial Unicode MS" w:cs="Wingdings 2" w:eastAsia="Arial Unicode MS" w:hAnsi="Arial Unicode MS"/>
      <w:sz w:val="24"/>
      <w:szCs w:val="24"/>
      <w:lang w:eastAsia="ar-SA" w:val="es-ES_tradnl"/>
    </w:rPr>
  </w:style>
  <w:style w:type="paragraph" w:styleId="Prrafodelista">
    <w:name w:val="List Paragraph"/>
    <w:basedOn w:val="Normal"/>
    <w:link w:val="PrrafodelistaCar"/>
    <w:uiPriority w:val="34"/>
    <w:qFormat w:val="1"/>
    <w:rsid w:val="000B47C0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ar-SA" w:val="es-ES_tradnl"/>
    </w:rPr>
  </w:style>
  <w:style w:type="paragraph" w:styleId="Sinespaciado">
    <w:name w:val="No Spacing"/>
    <w:uiPriority w:val="1"/>
    <w:qFormat w:val="1"/>
    <w:rsid w:val="008E59ED"/>
    <w:pPr>
      <w:spacing w:after="0" w:line="240" w:lineRule="auto"/>
    </w:pPr>
  </w:style>
  <w:style w:type="paragraph" w:styleId="Textoindependiente21" w:customStyle="1">
    <w:name w:val="Texto independiente 21"/>
    <w:basedOn w:val="Normal"/>
    <w:rsid w:val="00DE7696"/>
    <w:pPr>
      <w:spacing w:after="120" w:line="480" w:lineRule="auto"/>
    </w:pPr>
    <w:rPr>
      <w:rFonts w:ascii="Times New Roman" w:cs="Times New Roman" w:eastAsia="Times New Roman" w:hAnsi="Times New Roman"/>
      <w:sz w:val="24"/>
      <w:szCs w:val="24"/>
      <w:lang w:eastAsia="ar-SA"/>
    </w:rPr>
  </w:style>
  <w:style w:type="character" w:styleId="Hipervnculo">
    <w:name w:val="Hyperlink"/>
    <w:basedOn w:val="Fuentedeprrafopredeter"/>
    <w:uiPriority w:val="99"/>
    <w:unhideWhenUsed w:val="1"/>
    <w:rsid w:val="00C462AD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C462AD"/>
    <w:rPr>
      <w:color w:val="605e5c"/>
      <w:shd w:color="auto" w:fill="e1dfdd" w:val="clear"/>
    </w:rPr>
  </w:style>
  <w:style w:type="table" w:styleId="a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character" w:styleId="PrrafodelistaCar" w:customStyle="1">
    <w:name w:val="Párrafo de lista Car"/>
    <w:link w:val="Prrafodelista"/>
    <w:uiPriority w:val="34"/>
    <w:rsid w:val="00B14838"/>
    <w:rPr>
      <w:rFonts w:ascii="Times New Roman" w:cs="Times New Roman" w:eastAsia="Times New Roman" w:hAnsi="Times New Roman"/>
      <w:sz w:val="24"/>
      <w:szCs w:val="24"/>
      <w:lang w:eastAsia="ar-SA" w:val="es-ES_tradnl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Z9M5Ncl+xVkJ1gQJYMUaSN3mQ==">CgMxLjA4AHIhMW5BTktsVWN6V2xtRzNDSnozWWwtV2hncFlwSmhRcEgw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2023-01-13T17:31:00Z</dcterms:created>
  <dc:creator>Vladimir Guzmán Rivera</dc:creator>
</cp:coreProperties>
</file>