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B2A4A"/>
          <w:sz w:val="36"/>
          <w:szCs w:val="36"/>
        </w:rPr>
        <w:t xml:space="preserve">Rello SRS v0.1 — Requirements Quality Review</w:t>
      </w:r>
    </w:p>
    <w:p>
      <w:pPr>
        <w:spacing w:after="200"/>
      </w:pPr>
      <w:r>
        <w:rPr>
          <w:i/>
          <w:iCs/>
          <w:color w:val="555555"/>
          <w:sz w:val="20"/>
          <w:szCs w:val="20"/>
        </w:rPr>
        <w:t xml:space="preserve">Redline of requirements identified as ambiguous, untestable, non-atomic, self-contradictory, or otherwise likely to cause problems during development, QA, or acceptance. Prepared for stakeholder review alongside the draft SRS dated 30 August 2026.</w:t>
      </w:r>
    </w:p>
    <w:p>
      <w:pPr>
        <w:spacing w:after="120" w:before="100"/>
      </w:pPr>
      <w:r>
        <w:rPr>
          <w:b/>
          <w:bCs/>
          <w:color w:val="1B2A4A"/>
          <w:sz w:val="22"/>
          <w:szCs w:val="22"/>
        </w:rPr>
        <w:t xml:space="preserve">How to read this table</w:t>
      </w:r>
    </w:p>
    <w:p>
      <w:pPr>
        <w:spacing w:after="60"/>
      </w:pPr>
      <w:r>
        <w:rPr>
          <w:sz w:val="20"/>
          <w:szCs w:val="20"/>
        </w:rPr>
        <w:t xml:space="preserve">Category reflects the underlying pattern, not just this one instance — several categories recur across the SRS well beyond the rows listed here. “Suggested rewrite” is a starting point for the requirement owner, not a final replacement.</w:t>
      </w:r>
    </w:p>
    <w:p>
      <w:pPr>
        <w:spacing w:before="200"/>
      </w:pPr>
    </w:p>
    <w:tbl>
      <w:tblPr>
        <w:tblW w:type="dxa" w:w="12800"/>
        <w:tblBorders>
          <w:top w:val="single" w:color="auto" w:sz="4"/>
          <w:left w:val="single" w:color="auto" w:sz="4"/>
          <w:bottom w:val="single" w:color="auto" w:sz="4"/>
          <w:right w:val="single" w:color="auto" w:sz="4"/>
          <w:insideH w:val="single" w:color="auto" w:sz="4"/>
          <w:insideV w:val="single" w:color="auto" w:sz="4"/>
        </w:tblBorders>
      </w:tblPr>
      <w:tblGrid>
        <w:gridCol w:w="900"/>
        <w:gridCol w:w="1450"/>
        <w:gridCol w:w="1750"/>
        <w:gridCol w:w="3900"/>
        <w:gridCol w:w="4800"/>
      </w:tblGrid>
      <w:tr>
        <w:trPr>
          <w:tblHeader/>
        </w:trPr>
        <w:tc>
          <w:tcPr>
            <w:tcW w:type="dxa" w:w="900"/>
            <w:shd w:fill="1B2A4A" w:val="clear"/>
            <w:tcMar>
              <w:top w:type="dxa" w:w="90"/>
              <w:left w:type="dxa" w:w="80"/>
              <w:bottom w:type="dxa" w:w="90"/>
              <w:right w:type="dxa" w:w="80"/>
            </w:tcMar>
            <w:vAlign w:val="top"/>
          </w:tcPr>
          <w:p>
            <w:pPr>
              <w:jc w:val="left"/>
            </w:pPr>
            <w:r>
              <w:rPr>
                <w:b/>
                <w:bCs/>
                <w:color w:val="FFFFFF"/>
                <w:sz w:val="18"/>
                <w:szCs w:val="18"/>
              </w:rPr>
              <w:t xml:space="preserve">ID</w:t>
            </w:r>
          </w:p>
        </w:tc>
        <w:tc>
          <w:tcPr>
            <w:tcW w:type="dxa" w:w="1450"/>
            <w:shd w:fill="1B2A4A" w:val="clear"/>
            <w:tcMar>
              <w:top w:type="dxa" w:w="90"/>
              <w:left w:type="dxa" w:w="80"/>
              <w:bottom w:type="dxa" w:w="90"/>
              <w:right w:type="dxa" w:w="80"/>
            </w:tcMar>
            <w:vAlign w:val="top"/>
          </w:tcPr>
          <w:p>
            <w:pPr>
              <w:jc w:val="left"/>
            </w:pPr>
            <w:r>
              <w:rPr>
                <w:b/>
                <w:bCs/>
                <w:color w:val="FFFFFF"/>
                <w:sz w:val="18"/>
                <w:szCs w:val="18"/>
              </w:rPr>
              <w:t xml:space="preserve">Section</w:t>
            </w:r>
          </w:p>
        </w:tc>
        <w:tc>
          <w:tcPr>
            <w:tcW w:type="dxa" w:w="1750"/>
            <w:shd w:fill="1B2A4A" w:val="clear"/>
            <w:tcMar>
              <w:top w:type="dxa" w:w="90"/>
              <w:left w:type="dxa" w:w="80"/>
              <w:bottom w:type="dxa" w:w="90"/>
              <w:right w:type="dxa" w:w="80"/>
            </w:tcMar>
            <w:vAlign w:val="top"/>
          </w:tcPr>
          <w:p>
            <w:pPr>
              <w:jc w:val="left"/>
            </w:pPr>
            <w:r>
              <w:rPr>
                <w:b/>
                <w:bCs/>
                <w:color w:val="FFFFFF"/>
                <w:sz w:val="18"/>
                <w:szCs w:val="18"/>
              </w:rPr>
              <w:t xml:space="preserve">Issue category</w:t>
            </w:r>
          </w:p>
        </w:tc>
        <w:tc>
          <w:tcPr>
            <w:tcW w:type="dxa" w:w="3900"/>
            <w:shd w:fill="1B2A4A" w:val="clear"/>
            <w:tcMar>
              <w:top w:type="dxa" w:w="90"/>
              <w:left w:type="dxa" w:w="80"/>
              <w:bottom w:type="dxa" w:w="90"/>
              <w:right w:type="dxa" w:w="80"/>
            </w:tcMar>
            <w:vAlign w:val="top"/>
          </w:tcPr>
          <w:p>
            <w:pPr>
              <w:jc w:val="left"/>
            </w:pPr>
            <w:r>
              <w:rPr>
                <w:b/>
                <w:bCs/>
                <w:color w:val="FFFFFF"/>
                <w:sz w:val="18"/>
                <w:szCs w:val="18"/>
              </w:rPr>
              <w:t xml:space="preserve">What's wrong</w:t>
            </w:r>
          </w:p>
        </w:tc>
        <w:tc>
          <w:tcPr>
            <w:tcW w:type="dxa" w:w="4800"/>
            <w:shd w:fill="1B2A4A" w:val="clear"/>
            <w:tcMar>
              <w:top w:type="dxa" w:w="90"/>
              <w:left w:type="dxa" w:w="80"/>
              <w:bottom w:type="dxa" w:w="90"/>
              <w:right w:type="dxa" w:w="80"/>
            </w:tcMar>
            <w:vAlign w:val="top"/>
          </w:tcPr>
          <w:p>
            <w:pPr>
              <w:jc w:val="left"/>
            </w:pPr>
            <w:r>
              <w:rPr>
                <w:b/>
                <w:bCs/>
                <w:color w:val="FFFFFF"/>
                <w:sz w:val="18"/>
                <w:szCs w:val="18"/>
              </w:rPr>
              <w:t xml:space="preserve">Suggested rewrite / fix</w:t>
            </w:r>
          </w:p>
        </w:tc>
      </w:tr>
      <w:tr>
        <w:tc>
          <w:tcPr>
            <w:tcW w:type="dxa" w:w="900"/>
            <w:shd w:fill="FFFFFF" w:val="clear"/>
            <w:tcMar>
              <w:top w:type="dxa" w:w="90"/>
              <w:left w:type="dxa" w:w="80"/>
              <w:bottom w:type="dxa" w:w="90"/>
              <w:right w:type="dxa" w:w="80"/>
            </w:tcMar>
            <w:vAlign w:val="top"/>
          </w:tcPr>
          <w:p>
            <w:pPr>
              <w:jc w:val="left"/>
            </w:pPr>
            <w:r>
              <w:rPr>
                <w:b w:val="false"/>
                <w:bCs w:val="false"/>
                <w:color w:val="000000"/>
                <w:sz w:val="18"/>
                <w:szCs w:val="18"/>
              </w:rPr>
              <w:t xml:space="preserve">FR-DIS-003</w:t>
            </w:r>
          </w:p>
        </w:tc>
        <w:tc>
          <w:tcPr>
            <w:tcW w:type="dxa" w:w="1450"/>
            <w:shd w:fill="FFFFFF" w:val="clear"/>
            <w:tcMar>
              <w:top w:type="dxa" w:w="90"/>
              <w:left w:type="dxa" w:w="80"/>
              <w:bottom w:type="dxa" w:w="90"/>
              <w:right w:type="dxa" w:w="80"/>
            </w:tcMar>
            <w:vAlign w:val="top"/>
          </w:tcPr>
          <w:p>
            <w:pPr>
              <w:jc w:val="left"/>
            </w:pPr>
            <w:r>
              <w:rPr>
                <w:b w:val="false"/>
                <w:bCs w:val="false"/>
                <w:color w:val="000000"/>
                <w:sz w:val="18"/>
                <w:szCs w:val="18"/>
              </w:rPr>
              <w:t xml:space="preserve">6.4 Discovery</w:t>
            </w:r>
          </w:p>
        </w:tc>
        <w:tc>
          <w:tcPr>
            <w:tcW w:type="dxa" w:w="1750"/>
            <w:shd w:fill="FFFFFF" w:val="clear"/>
            <w:tcMar>
              <w:top w:type="dxa" w:w="90"/>
              <w:left w:type="dxa" w:w="80"/>
              <w:bottom w:type="dxa" w:w="90"/>
              <w:right w:type="dxa" w:w="80"/>
            </w:tcMar>
            <w:vAlign w:val="top"/>
          </w:tcPr>
          <w:p>
            <w:pPr>
              <w:jc w:val="left"/>
            </w:pPr>
            <w:r>
              <w:rPr>
                <w:b w:val="false"/>
                <w:bCs w:val="false"/>
                <w:color w:val="000000"/>
                <w:sz w:val="18"/>
                <w:szCs w:val="18"/>
              </w:rPr>
              <w:t xml:space="preserve">Undefined term dependency</w:t>
            </w:r>
          </w:p>
        </w:tc>
        <w:tc>
          <w:tcPr>
            <w:tcW w:type="dxa" w:w="3900"/>
            <w:shd w:fill="FFFFFF" w:val="clear"/>
            <w:tcMar>
              <w:top w:type="dxa" w:w="90"/>
              <w:left w:type="dxa" w:w="80"/>
              <w:bottom w:type="dxa" w:w="90"/>
              <w:right w:type="dxa" w:w="80"/>
            </w:tcMar>
            <w:vAlign w:val="top"/>
          </w:tcPr>
          <w:p>
            <w:pPr>
              <w:jc w:val="left"/>
            </w:pPr>
            <w:r>
              <w:rPr>
                <w:b w:val="false"/>
                <w:bCs w:val="false"/>
                <w:color w:val="000000"/>
                <w:sz w:val="18"/>
                <w:szCs w:val="18"/>
              </w:rPr>
              <w:t xml:space="preserve">Requirement permits search by “other approved location unit” — “approved” is never defined anywhere in the document; no glossary exists.</w:t>
            </w:r>
          </w:p>
        </w:tc>
        <w:tc>
          <w:tcPr>
            <w:tcW w:type="dxa" w:w="4800"/>
            <w:shd w:fill="FFFFFF" w:val="clear"/>
            <w:tcMar>
              <w:top w:type="dxa" w:w="90"/>
              <w:left w:type="dxa" w:w="80"/>
              <w:bottom w:type="dxa" w:w="90"/>
              <w:right w:type="dxa" w:w="80"/>
            </w:tcMar>
            <w:vAlign w:val="top"/>
          </w:tcPr>
          <w:p>
            <w:pPr>
              <w:jc w:val="left"/>
            </w:pPr>
            <w:r>
              <w:rPr>
                <w:b w:val="false"/>
                <w:bCs w:val="false"/>
                <w:color w:val="000000"/>
                <w:sz w:val="18"/>
                <w:szCs w:val="18"/>
              </w:rPr>
              <w:t xml:space="preserve">List the specific location units supported (city, area, address keyword). Move any open-ended extension to a Could-priority note pending a defined location-unit policy.</w:t>
            </w:r>
          </w:p>
        </w:tc>
      </w:tr>
      <w:tr>
        <w:tc>
          <w:tcPr>
            <w:tcW w:type="dxa" w:w="900"/>
            <w:shd w:fill="F2F2F2" w:val="clear"/>
            <w:tcMar>
              <w:top w:type="dxa" w:w="90"/>
              <w:left w:type="dxa" w:w="80"/>
              <w:bottom w:type="dxa" w:w="90"/>
              <w:right w:type="dxa" w:w="80"/>
            </w:tcMar>
            <w:vAlign w:val="top"/>
          </w:tcPr>
          <w:p>
            <w:pPr>
              <w:jc w:val="left"/>
            </w:pPr>
            <w:r>
              <w:rPr>
                <w:b w:val="false"/>
                <w:bCs w:val="false"/>
                <w:color w:val="000000"/>
                <w:sz w:val="18"/>
                <w:szCs w:val="18"/>
              </w:rPr>
              <w:t xml:space="preserve">FR-DIS-012</w:t>
            </w:r>
          </w:p>
        </w:tc>
        <w:tc>
          <w:tcPr>
            <w:tcW w:type="dxa" w:w="1450"/>
            <w:shd w:fill="F2F2F2" w:val="clear"/>
            <w:tcMar>
              <w:top w:type="dxa" w:w="90"/>
              <w:left w:type="dxa" w:w="80"/>
              <w:bottom w:type="dxa" w:w="90"/>
              <w:right w:type="dxa" w:w="80"/>
            </w:tcMar>
            <w:vAlign w:val="top"/>
          </w:tcPr>
          <w:p>
            <w:pPr>
              <w:jc w:val="left"/>
            </w:pPr>
            <w:r>
              <w:rPr>
                <w:b w:val="false"/>
                <w:bCs w:val="false"/>
                <w:color w:val="000000"/>
                <w:sz w:val="18"/>
                <w:szCs w:val="18"/>
              </w:rPr>
              <w:t xml:space="preserve">6.4 Discovery</w:t>
            </w:r>
          </w:p>
        </w:tc>
        <w:tc>
          <w:tcPr>
            <w:tcW w:type="dxa" w:w="1750"/>
            <w:shd w:fill="F2F2F2" w:val="clear"/>
            <w:tcMar>
              <w:top w:type="dxa" w:w="90"/>
              <w:left w:type="dxa" w:w="80"/>
              <w:bottom w:type="dxa" w:w="90"/>
              <w:right w:type="dxa" w:w="80"/>
            </w:tcMar>
            <w:vAlign w:val="top"/>
          </w:tcPr>
          <w:p>
            <w:pPr>
              <w:jc w:val="left"/>
            </w:pPr>
            <w:r>
              <w:rPr>
                <w:b w:val="false"/>
                <w:bCs w:val="false"/>
                <w:color w:val="000000"/>
                <w:sz w:val="18"/>
                <w:szCs w:val="18"/>
              </w:rPr>
              <w:t xml:space="preserve">Weak negative (“shall avoid”)</w:t>
            </w:r>
          </w:p>
        </w:tc>
        <w:tc>
          <w:tcPr>
            <w:tcW w:type="dxa" w:w="3900"/>
            <w:shd w:fill="F2F2F2" w:val="clear"/>
            <w:tcMar>
              <w:top w:type="dxa" w:w="90"/>
              <w:left w:type="dxa" w:w="80"/>
              <w:bottom w:type="dxa" w:w="90"/>
              <w:right w:type="dxa" w:w="80"/>
            </w:tcMar>
            <w:vAlign w:val="top"/>
          </w:tcPr>
          <w:p>
            <w:pPr>
              <w:jc w:val="left"/>
            </w:pPr>
            <w:r>
              <w:rPr>
                <w:b w:val="false"/>
                <w:bCs w:val="false"/>
                <w:color w:val="000000"/>
                <w:sz w:val="18"/>
                <w:szCs w:val="18"/>
              </w:rPr>
              <w:t xml:space="preserve">“The system shall avoid exposing a property's exact private location...” — “avoid” is best-effort language, not a binary pass/fail condition, for a Must-priority privacy control.</w:t>
            </w:r>
          </w:p>
        </w:tc>
        <w:tc>
          <w:tcPr>
            <w:tcW w:type="dxa" w:w="4800"/>
            <w:shd w:fill="F2F2F2" w:val="clear"/>
            <w:tcMar>
              <w:top w:type="dxa" w:w="90"/>
              <w:left w:type="dxa" w:w="80"/>
              <w:bottom w:type="dxa" w:w="90"/>
              <w:right w:type="dxa" w:w="80"/>
            </w:tcMar>
            <w:vAlign w:val="top"/>
          </w:tcPr>
          <w:p>
            <w:pPr>
              <w:jc w:val="left"/>
            </w:pPr>
            <w:r>
              <w:rPr>
                <w:b w:val="false"/>
                <w:bCs w:val="false"/>
                <w:color w:val="000000"/>
                <w:sz w:val="18"/>
                <w:szCs w:val="18"/>
              </w:rPr>
              <w:t xml:space="preserve">“The system shall not expose a property's exact coordinates or street-level address beyond the published public-address precision defined in [policy ref].”</w:t>
            </w:r>
          </w:p>
        </w:tc>
      </w:tr>
      <w:tr>
        <w:tc>
          <w:tcPr>
            <w:tcW w:type="dxa" w:w="900"/>
            <w:shd w:fill="FFFFFF" w:val="clear"/>
            <w:tcMar>
              <w:top w:type="dxa" w:w="90"/>
              <w:left w:type="dxa" w:w="80"/>
              <w:bottom w:type="dxa" w:w="90"/>
              <w:right w:type="dxa" w:w="80"/>
            </w:tcMar>
            <w:vAlign w:val="top"/>
          </w:tcPr>
          <w:p>
            <w:pPr>
              <w:jc w:val="left"/>
            </w:pPr>
            <w:r>
              <w:rPr>
                <w:b w:val="false"/>
                <w:bCs w:val="false"/>
                <w:color w:val="000000"/>
                <w:sz w:val="18"/>
                <w:szCs w:val="18"/>
              </w:rPr>
              <w:t xml:space="preserve">NFR-PER-007</w:t>
            </w:r>
          </w:p>
        </w:tc>
        <w:tc>
          <w:tcPr>
            <w:tcW w:type="dxa" w:w="1450"/>
            <w:shd w:fill="FFFFFF" w:val="clear"/>
            <w:tcMar>
              <w:top w:type="dxa" w:w="90"/>
              <w:left w:type="dxa" w:w="80"/>
              <w:bottom w:type="dxa" w:w="90"/>
              <w:right w:type="dxa" w:w="80"/>
            </w:tcMar>
            <w:vAlign w:val="top"/>
          </w:tcPr>
          <w:p>
            <w:pPr>
              <w:jc w:val="left"/>
            </w:pPr>
            <w:r>
              <w:rPr>
                <w:b w:val="false"/>
                <w:bCs w:val="false"/>
                <w:color w:val="000000"/>
                <w:sz w:val="18"/>
                <w:szCs w:val="18"/>
              </w:rPr>
              <w:t xml:space="preserve">7.3 Performance</w:t>
            </w:r>
          </w:p>
        </w:tc>
        <w:tc>
          <w:tcPr>
            <w:tcW w:type="dxa" w:w="1750"/>
            <w:shd w:fill="FFFFFF" w:val="clear"/>
            <w:tcMar>
              <w:top w:type="dxa" w:w="90"/>
              <w:left w:type="dxa" w:w="80"/>
              <w:bottom w:type="dxa" w:w="90"/>
              <w:right w:type="dxa" w:w="80"/>
            </w:tcMar>
            <w:vAlign w:val="top"/>
          </w:tcPr>
          <w:p>
            <w:pPr>
              <w:jc w:val="left"/>
            </w:pPr>
            <w:r>
              <w:rPr>
                <w:b w:val="false"/>
                <w:bCs w:val="false"/>
                <w:color w:val="000000"/>
                <w:sz w:val="18"/>
                <w:szCs w:val="18"/>
              </w:rPr>
              <w:t xml:space="preserve">Weak negative (“shall avoid”)</w:t>
            </w:r>
          </w:p>
        </w:tc>
        <w:tc>
          <w:tcPr>
            <w:tcW w:type="dxa" w:w="3900"/>
            <w:shd w:fill="FFFFFF" w:val="clear"/>
            <w:tcMar>
              <w:top w:type="dxa" w:w="90"/>
              <w:left w:type="dxa" w:w="80"/>
              <w:bottom w:type="dxa" w:w="90"/>
              <w:right w:type="dxa" w:w="80"/>
            </w:tcMar>
            <w:vAlign w:val="top"/>
          </w:tcPr>
          <w:p>
            <w:pPr>
              <w:jc w:val="left"/>
            </w:pPr>
            <w:r>
              <w:rPr>
                <w:b w:val="false"/>
                <w:bCs w:val="false"/>
                <w:color w:val="000000"/>
                <w:sz w:val="18"/>
                <w:szCs w:val="18"/>
              </w:rPr>
              <w:t xml:space="preserve">“The initial public route shall avoid shipping authenticated-dashboard code...” — same issue; not independently verifiable by a bundle-size test as written.</w:t>
            </w:r>
          </w:p>
        </w:tc>
        <w:tc>
          <w:tcPr>
            <w:tcW w:type="dxa" w:w="4800"/>
            <w:shd w:fill="FFFFFF" w:val="clear"/>
            <w:tcMar>
              <w:top w:type="dxa" w:w="90"/>
              <w:left w:type="dxa" w:w="80"/>
              <w:bottom w:type="dxa" w:w="90"/>
              <w:right w:type="dxa" w:w="80"/>
            </w:tcMar>
            <w:vAlign w:val="top"/>
          </w:tcPr>
          <w:p>
            <w:pPr>
              <w:jc w:val="left"/>
            </w:pPr>
            <w:r>
              <w:rPr>
                <w:b w:val="false"/>
                <w:bCs w:val="false"/>
                <w:color w:val="000000"/>
                <w:sz w:val="18"/>
                <w:szCs w:val="18"/>
              </w:rPr>
              <w:t xml:space="preserve">“The initial public route's JavaScript bundle shall not include authenticated-dashboard modules, verified by build-time bundle analysis in CI.”</w:t>
            </w:r>
          </w:p>
        </w:tc>
      </w:tr>
      <w:tr>
        <w:tc>
          <w:tcPr>
            <w:tcW w:type="dxa" w:w="900"/>
            <w:shd w:fill="F2F2F2" w:val="clear"/>
            <w:tcMar>
              <w:top w:type="dxa" w:w="90"/>
              <w:left w:type="dxa" w:w="80"/>
              <w:bottom w:type="dxa" w:w="90"/>
              <w:right w:type="dxa" w:w="80"/>
            </w:tcMar>
            <w:vAlign w:val="top"/>
          </w:tcPr>
          <w:p>
            <w:pPr>
              <w:jc w:val="left"/>
            </w:pPr>
            <w:r>
              <w:rPr>
                <w:b w:val="false"/>
                <w:bCs w:val="false"/>
                <w:color w:val="000000"/>
                <w:sz w:val="18"/>
                <w:szCs w:val="18"/>
              </w:rPr>
              <w:t xml:space="preserve">FR-PAY-005</w:t>
            </w:r>
          </w:p>
        </w:tc>
        <w:tc>
          <w:tcPr>
            <w:tcW w:type="dxa" w:w="1450"/>
            <w:shd w:fill="F2F2F2" w:val="clear"/>
            <w:tcMar>
              <w:top w:type="dxa" w:w="90"/>
              <w:left w:type="dxa" w:w="80"/>
              <w:bottom w:type="dxa" w:w="90"/>
              <w:right w:type="dxa" w:w="80"/>
            </w:tcMar>
            <w:vAlign w:val="top"/>
          </w:tcPr>
          <w:p>
            <w:pPr>
              <w:jc w:val="left"/>
            </w:pPr>
            <w:r>
              <w:rPr>
                <w:b w:val="false"/>
                <w:bCs w:val="false"/>
                <w:color w:val="000000"/>
                <w:sz w:val="18"/>
                <w:szCs w:val="18"/>
              </w:rPr>
              <w:t xml:space="preserve">6.9 Escrow/Payment</w:t>
            </w:r>
          </w:p>
        </w:tc>
        <w:tc>
          <w:tcPr>
            <w:tcW w:type="dxa" w:w="1750"/>
            <w:shd w:fill="F2F2F2" w:val="clear"/>
            <w:tcMar>
              <w:top w:type="dxa" w:w="90"/>
              <w:left w:type="dxa" w:w="80"/>
              <w:bottom w:type="dxa" w:w="90"/>
              <w:right w:type="dxa" w:w="80"/>
            </w:tcMar>
            <w:vAlign w:val="top"/>
          </w:tcPr>
          <w:p>
            <w:pPr>
              <w:jc w:val="left"/>
            </w:pPr>
            <w:r>
              <w:rPr>
                <w:b w:val="false"/>
                <w:bCs w:val="false"/>
                <w:color w:val="000000"/>
                <w:sz w:val="18"/>
                <w:szCs w:val="18"/>
              </w:rPr>
              <w:t xml:space="preserve">Must priority contradicted by TBD basis</w:t>
            </w:r>
          </w:p>
        </w:tc>
        <w:tc>
          <w:tcPr>
            <w:tcW w:type="dxa" w:w="3900"/>
            <w:shd w:fill="F2F2F2" w:val="clear"/>
            <w:tcMar>
              <w:top w:type="dxa" w:w="90"/>
              <w:left w:type="dxa" w:w="80"/>
              <w:bottom w:type="dxa" w:w="90"/>
              <w:right w:type="dxa" w:w="80"/>
            </w:tcMar>
            <w:vAlign w:val="top"/>
          </w:tcPr>
          <w:p>
            <w:pPr>
              <w:jc w:val="left"/>
            </w:pPr>
            <w:r>
              <w:rPr>
                <w:b w:val="false"/>
                <w:bCs w:val="false"/>
                <w:color w:val="000000"/>
                <w:sz w:val="18"/>
                <w:szCs w:val="18"/>
              </w:rPr>
              <w:t xml:space="preserve">Priority is Must but Basis is “Proposed, TBD” — the requirement is mandatory for release while its own release-condition policy is still an open decision (see OD-007).</w:t>
            </w:r>
          </w:p>
        </w:tc>
        <w:tc>
          <w:tcPr>
            <w:tcW w:type="dxa" w:w="4800"/>
            <w:shd w:fill="F2F2F2" w:val="clear"/>
            <w:tcMar>
              <w:top w:type="dxa" w:w="90"/>
              <w:left w:type="dxa" w:w="80"/>
              <w:bottom w:type="dxa" w:w="90"/>
              <w:right w:type="dxa" w:w="80"/>
            </w:tcMar>
            <w:vAlign w:val="top"/>
          </w:tcPr>
          <w:p>
            <w:pPr>
              <w:jc w:val="left"/>
            </w:pPr>
            <w:r>
              <w:rPr>
                <w:b w:val="false"/>
                <w:bCs w:val="false"/>
                <w:color w:val="000000"/>
                <w:sz w:val="18"/>
                <w:szCs w:val="18"/>
              </w:rPr>
              <w:t xml:space="preserve">Split into: (1) a Must FR stating the system shall only release escrow when the backend confirms approved conditions are met [testable once conditions exist], and (2) a tracked precondition in §13 (OD-007) blocking escrow launch until the policy is ratified — not itself a numbered FR.</w:t>
            </w:r>
          </w:p>
        </w:tc>
      </w:tr>
      <w:tr>
        <w:tc>
          <w:tcPr>
            <w:tcW w:type="dxa" w:w="900"/>
            <w:shd w:fill="FFFFFF" w:val="clear"/>
            <w:tcMar>
              <w:top w:type="dxa" w:w="90"/>
              <w:left w:type="dxa" w:w="80"/>
              <w:bottom w:type="dxa" w:w="90"/>
              <w:right w:type="dxa" w:w="80"/>
            </w:tcMar>
            <w:vAlign w:val="top"/>
          </w:tcPr>
          <w:p>
            <w:pPr>
              <w:jc w:val="left"/>
            </w:pPr>
            <w:r>
              <w:rPr>
                <w:b w:val="false"/>
                <w:bCs w:val="false"/>
                <w:color w:val="000000"/>
                <w:sz w:val="18"/>
                <w:szCs w:val="18"/>
              </w:rPr>
              <w:t xml:space="preserve">FR-PAY-010</w:t>
            </w:r>
          </w:p>
        </w:tc>
        <w:tc>
          <w:tcPr>
            <w:tcW w:type="dxa" w:w="1450"/>
            <w:shd w:fill="FFFFFF" w:val="clear"/>
            <w:tcMar>
              <w:top w:type="dxa" w:w="90"/>
              <w:left w:type="dxa" w:w="80"/>
              <w:bottom w:type="dxa" w:w="90"/>
              <w:right w:type="dxa" w:w="80"/>
            </w:tcMar>
            <w:vAlign w:val="top"/>
          </w:tcPr>
          <w:p>
            <w:pPr>
              <w:jc w:val="left"/>
            </w:pPr>
            <w:r>
              <w:rPr>
                <w:b w:val="false"/>
                <w:bCs w:val="false"/>
                <w:color w:val="000000"/>
                <w:sz w:val="18"/>
                <w:szCs w:val="18"/>
              </w:rPr>
              <w:t xml:space="preserve">6.9 Escrow/Payment</w:t>
            </w:r>
          </w:p>
        </w:tc>
        <w:tc>
          <w:tcPr>
            <w:tcW w:type="dxa" w:w="1750"/>
            <w:shd w:fill="FFFFFF" w:val="clear"/>
            <w:tcMar>
              <w:top w:type="dxa" w:w="90"/>
              <w:left w:type="dxa" w:w="80"/>
              <w:bottom w:type="dxa" w:w="90"/>
              <w:right w:type="dxa" w:w="80"/>
            </w:tcMar>
            <w:vAlign w:val="top"/>
          </w:tcPr>
          <w:p>
            <w:pPr>
              <w:jc w:val="left"/>
            </w:pPr>
            <w:r>
              <w:rPr>
                <w:b w:val="false"/>
                <w:bCs w:val="false"/>
                <w:color w:val="000000"/>
                <w:sz w:val="18"/>
                <w:szCs w:val="18"/>
              </w:rPr>
              <w:t xml:space="preserve">Governance action mislabeled as system requirement</w:t>
            </w:r>
          </w:p>
        </w:tc>
        <w:tc>
          <w:tcPr>
            <w:tcW w:type="dxa" w:w="3900"/>
            <w:shd w:fill="FFFFFF" w:val="clear"/>
            <w:tcMar>
              <w:top w:type="dxa" w:w="90"/>
              <w:left w:type="dxa" w:w="80"/>
              <w:bottom w:type="dxa" w:w="90"/>
              <w:right w:type="dxa" w:w="80"/>
            </w:tcMar>
            <w:vAlign w:val="top"/>
          </w:tcPr>
          <w:p>
            <w:pPr>
              <w:jc w:val="left"/>
            </w:pPr>
            <w:r>
              <w:rPr>
                <w:b w:val="false"/>
                <w:bCs w:val="false"/>
                <w:color w:val="000000"/>
                <w:sz w:val="18"/>
                <w:szCs w:val="18"/>
              </w:rPr>
              <w:t xml:space="preserve">“Refund, cancellation, release, fee, and settlement policies shall be approved and documented before escrow is enabled” describes a stakeholder approval step, not system behavior, but sits in the FR table at Must priority alongside real functional requirements.</w:t>
            </w:r>
          </w:p>
        </w:tc>
        <w:tc>
          <w:tcPr>
            <w:tcW w:type="dxa" w:w="4800"/>
            <w:shd w:fill="FFFFFF" w:val="clear"/>
            <w:tcMar>
              <w:top w:type="dxa" w:w="90"/>
              <w:left w:type="dxa" w:w="80"/>
              <w:bottom w:type="dxa" w:w="90"/>
              <w:right w:type="dxa" w:w="80"/>
            </w:tcMar>
            <w:vAlign w:val="top"/>
          </w:tcPr>
          <w:p>
            <w:pPr>
              <w:jc w:val="left"/>
            </w:pPr>
            <w:r>
              <w:rPr>
                <w:b w:val="false"/>
                <w:bCs w:val="false"/>
                <w:color w:val="000000"/>
                <w:sz w:val="18"/>
                <w:szCs w:val="18"/>
              </w:rPr>
              <w:t xml:space="preserve">Remove from the FR table; restate as a release-gate condition in §14 (Release acceptance baseline), which already exists for exactly this purpose.</w:t>
            </w:r>
          </w:p>
        </w:tc>
      </w:tr>
      <w:tr>
        <w:tc>
          <w:tcPr>
            <w:tcW w:type="dxa" w:w="900"/>
            <w:shd w:fill="F2F2F2" w:val="clear"/>
            <w:tcMar>
              <w:top w:type="dxa" w:w="90"/>
              <w:left w:type="dxa" w:w="80"/>
              <w:bottom w:type="dxa" w:w="90"/>
              <w:right w:type="dxa" w:w="80"/>
            </w:tcMar>
            <w:vAlign w:val="top"/>
          </w:tcPr>
          <w:p>
            <w:pPr>
              <w:jc w:val="left"/>
            </w:pPr>
            <w:r>
              <w:rPr>
                <w:b w:val="false"/>
                <w:bCs w:val="false"/>
                <w:color w:val="000000"/>
                <w:sz w:val="18"/>
                <w:szCs w:val="18"/>
              </w:rPr>
              <w:t xml:space="preserve">FR-DSP-006</w:t>
            </w:r>
          </w:p>
        </w:tc>
        <w:tc>
          <w:tcPr>
            <w:tcW w:type="dxa" w:w="1450"/>
            <w:shd w:fill="F2F2F2" w:val="clear"/>
            <w:tcMar>
              <w:top w:type="dxa" w:w="90"/>
              <w:left w:type="dxa" w:w="80"/>
              <w:bottom w:type="dxa" w:w="90"/>
              <w:right w:type="dxa" w:w="80"/>
            </w:tcMar>
            <w:vAlign w:val="top"/>
          </w:tcPr>
          <w:p>
            <w:pPr>
              <w:jc w:val="left"/>
            </w:pPr>
            <w:r>
              <w:rPr>
                <w:b w:val="false"/>
                <w:bCs w:val="false"/>
                <w:color w:val="000000"/>
                <w:sz w:val="18"/>
                <w:szCs w:val="18"/>
              </w:rPr>
              <w:t xml:space="preserve">6.16 Disputes</w:t>
            </w:r>
          </w:p>
        </w:tc>
        <w:tc>
          <w:tcPr>
            <w:tcW w:type="dxa" w:w="1750"/>
            <w:shd w:fill="F2F2F2" w:val="clear"/>
            <w:tcMar>
              <w:top w:type="dxa" w:w="90"/>
              <w:left w:type="dxa" w:w="80"/>
              <w:bottom w:type="dxa" w:w="90"/>
              <w:right w:type="dxa" w:w="80"/>
            </w:tcMar>
            <w:vAlign w:val="top"/>
          </w:tcPr>
          <w:p>
            <w:pPr>
              <w:jc w:val="left"/>
            </w:pPr>
            <w:r>
              <w:rPr>
                <w:b w:val="false"/>
                <w:bCs w:val="false"/>
                <w:color w:val="000000"/>
                <w:sz w:val="18"/>
                <w:szCs w:val="18"/>
              </w:rPr>
              <w:t xml:space="preserve">Must priority contradicted by TBD basis</w:t>
            </w:r>
          </w:p>
        </w:tc>
        <w:tc>
          <w:tcPr>
            <w:tcW w:type="dxa" w:w="3900"/>
            <w:shd w:fill="F2F2F2" w:val="clear"/>
            <w:tcMar>
              <w:top w:type="dxa" w:w="90"/>
              <w:left w:type="dxa" w:w="80"/>
              <w:bottom w:type="dxa" w:w="90"/>
              <w:right w:type="dxa" w:w="80"/>
            </w:tcMar>
            <w:vAlign w:val="top"/>
          </w:tcPr>
          <w:p>
            <w:pPr>
              <w:jc w:val="left"/>
            </w:pPr>
            <w:r>
              <w:rPr>
                <w:b w:val="false"/>
                <w:bCs w:val="false"/>
                <w:color w:val="000000"/>
                <w:sz w:val="18"/>
                <w:szCs w:val="18"/>
              </w:rPr>
              <w:t xml:space="preserve">“Opening an eligible financial dispute shall freeze affected escrow release when required by the approved escrow policy” — Must priority, Basis “Proposed, TBD”; also duplicates BR-010's freeze logic.</w:t>
            </w:r>
          </w:p>
        </w:tc>
        <w:tc>
          <w:tcPr>
            <w:tcW w:type="dxa" w:w="4800"/>
            <w:shd w:fill="F2F2F2" w:val="clear"/>
            <w:tcMar>
              <w:top w:type="dxa" w:w="90"/>
              <w:left w:type="dxa" w:w="80"/>
              <w:bottom w:type="dxa" w:w="90"/>
              <w:right w:type="dxa" w:w="80"/>
            </w:tcMar>
            <w:vAlign w:val="top"/>
          </w:tcPr>
          <w:p>
            <w:pPr>
              <w:jc w:val="left"/>
            </w:pPr>
            <w:r>
              <w:rPr>
                <w:b w:val="false"/>
                <w:bCs w:val="false"/>
                <w:color w:val="000000"/>
                <w:sz w:val="18"/>
                <w:szCs w:val="18"/>
              </w:rPr>
              <w:t xml:space="preserve">Downgrade to Should until the escrow policy (OD-007) is ratified, or make the freeze behavior itself the Must (freezing is testable) and reference the undefined trigger policy separately as TBD.</w:t>
            </w:r>
          </w:p>
        </w:tc>
      </w:tr>
      <w:tr>
        <w:tc>
          <w:tcPr>
            <w:tcW w:type="dxa" w:w="900"/>
            <w:shd w:fill="FFFFFF" w:val="clear"/>
            <w:tcMar>
              <w:top w:type="dxa" w:w="90"/>
              <w:left w:type="dxa" w:w="80"/>
              <w:bottom w:type="dxa" w:w="90"/>
              <w:right w:type="dxa" w:w="80"/>
            </w:tcMar>
            <w:vAlign w:val="top"/>
          </w:tcPr>
          <w:p>
            <w:pPr>
              <w:jc w:val="left"/>
            </w:pPr>
            <w:r>
              <w:rPr>
                <w:b w:val="false"/>
                <w:bCs w:val="false"/>
                <w:color w:val="000000"/>
                <w:sz w:val="18"/>
                <w:szCs w:val="18"/>
              </w:rPr>
              <w:t xml:space="preserve">NFR-SEC-006</w:t>
            </w:r>
          </w:p>
        </w:tc>
        <w:tc>
          <w:tcPr>
            <w:tcW w:type="dxa" w:w="1450"/>
            <w:shd w:fill="FFFFFF" w:val="clear"/>
            <w:tcMar>
              <w:top w:type="dxa" w:w="90"/>
              <w:left w:type="dxa" w:w="80"/>
              <w:bottom w:type="dxa" w:w="90"/>
              <w:right w:type="dxa" w:w="80"/>
            </w:tcMar>
            <w:vAlign w:val="top"/>
          </w:tcPr>
          <w:p>
            <w:pPr>
              <w:jc w:val="left"/>
            </w:pPr>
            <w:r>
              <w:rPr>
                <w:b w:val="false"/>
                <w:bCs w:val="false"/>
                <w:color w:val="000000"/>
                <w:sz w:val="18"/>
                <w:szCs w:val="18"/>
              </w:rPr>
              <w:t xml:space="preserve">7.1 Security</w:t>
            </w:r>
          </w:p>
        </w:tc>
        <w:tc>
          <w:tcPr>
            <w:tcW w:type="dxa" w:w="1750"/>
            <w:shd w:fill="FFFFFF" w:val="clear"/>
            <w:tcMar>
              <w:top w:type="dxa" w:w="90"/>
              <w:left w:type="dxa" w:w="80"/>
              <w:bottom w:type="dxa" w:w="90"/>
              <w:right w:type="dxa" w:w="80"/>
            </w:tcMar>
            <w:vAlign w:val="top"/>
          </w:tcPr>
          <w:p>
            <w:pPr>
              <w:jc w:val="left"/>
            </w:pPr>
            <w:r>
              <w:rPr>
                <w:b w:val="false"/>
                <w:bCs w:val="false"/>
                <w:color w:val="000000"/>
                <w:sz w:val="18"/>
                <w:szCs w:val="18"/>
              </w:rPr>
              <w:t xml:space="preserve">Compound / non-atomic requirement</w:t>
            </w:r>
          </w:p>
        </w:tc>
        <w:tc>
          <w:tcPr>
            <w:tcW w:type="dxa" w:w="3900"/>
            <w:shd w:fill="FFFFFF" w:val="clear"/>
            <w:tcMar>
              <w:top w:type="dxa" w:w="90"/>
              <w:left w:type="dxa" w:w="80"/>
              <w:bottom w:type="dxa" w:w="90"/>
              <w:right w:type="dxa" w:w="80"/>
            </w:tcMar>
            <w:vAlign w:val="top"/>
          </w:tcPr>
          <w:p>
            <w:pPr>
              <w:jc w:val="left"/>
            </w:pPr>
            <w:r>
              <w:rPr>
                <w:b w:val="false"/>
                <w:bCs w:val="false"/>
                <w:color w:val="000000"/>
                <w:sz w:val="18"/>
                <w:szCs w:val="18"/>
              </w:rPr>
              <w:t xml:space="preserve">Bundles eight distinct threat classes (XSS, CSRF, injection, IDOR, SSRF, clickjacking, unsafe redirects, malicious upload) into a single ID.</w:t>
            </w:r>
          </w:p>
        </w:tc>
        <w:tc>
          <w:tcPr>
            <w:tcW w:type="dxa" w:w="4800"/>
            <w:shd w:fill="FFFFFF" w:val="clear"/>
            <w:tcMar>
              <w:top w:type="dxa" w:w="90"/>
              <w:left w:type="dxa" w:w="80"/>
              <w:bottom w:type="dxa" w:w="90"/>
              <w:right w:type="dxa" w:w="80"/>
            </w:tcMar>
            <w:vAlign w:val="top"/>
          </w:tcPr>
          <w:p>
            <w:pPr>
              <w:jc w:val="left"/>
            </w:pPr>
            <w:r>
              <w:rPr>
                <w:b w:val="false"/>
                <w:bCs w:val="false"/>
                <w:color w:val="000000"/>
                <w:sz w:val="18"/>
                <w:szCs w:val="18"/>
              </w:rPr>
              <w:t xml:space="preserve">Split into eight NFR-SEC sub-requirements, each independently testable and traceable to its own penetration-test case, e.g. NFR-SEC-006a (XSS), 006b (CSRF), etc.</w:t>
            </w:r>
          </w:p>
        </w:tc>
      </w:tr>
      <w:tr>
        <w:tc>
          <w:tcPr>
            <w:tcW w:type="dxa" w:w="900"/>
            <w:shd w:fill="F2F2F2" w:val="clear"/>
            <w:tcMar>
              <w:top w:type="dxa" w:w="90"/>
              <w:left w:type="dxa" w:w="80"/>
              <w:bottom w:type="dxa" w:w="90"/>
              <w:right w:type="dxa" w:w="80"/>
            </w:tcMar>
            <w:vAlign w:val="top"/>
          </w:tcPr>
          <w:p>
            <w:pPr>
              <w:jc w:val="left"/>
            </w:pPr>
            <w:r>
              <w:rPr>
                <w:b w:val="false"/>
                <w:bCs w:val="false"/>
                <w:color w:val="000000"/>
                <w:sz w:val="18"/>
                <w:szCs w:val="18"/>
              </w:rPr>
              <w:t xml:space="preserve">NFR-PRV-005</w:t>
            </w:r>
          </w:p>
        </w:tc>
        <w:tc>
          <w:tcPr>
            <w:tcW w:type="dxa" w:w="1450"/>
            <w:shd w:fill="F2F2F2" w:val="clear"/>
            <w:tcMar>
              <w:top w:type="dxa" w:w="90"/>
              <w:left w:type="dxa" w:w="80"/>
              <w:bottom w:type="dxa" w:w="90"/>
              <w:right w:type="dxa" w:w="80"/>
            </w:tcMar>
            <w:vAlign w:val="top"/>
          </w:tcPr>
          <w:p>
            <w:pPr>
              <w:jc w:val="left"/>
            </w:pPr>
            <w:r>
              <w:rPr>
                <w:b w:val="false"/>
                <w:bCs w:val="false"/>
                <w:color w:val="000000"/>
                <w:sz w:val="18"/>
                <w:szCs w:val="18"/>
              </w:rPr>
              <w:t xml:space="preserve">7.2 Privacy</w:t>
            </w:r>
          </w:p>
        </w:tc>
        <w:tc>
          <w:tcPr>
            <w:tcW w:type="dxa" w:w="1750"/>
            <w:shd w:fill="F2F2F2" w:val="clear"/>
            <w:tcMar>
              <w:top w:type="dxa" w:w="90"/>
              <w:left w:type="dxa" w:w="80"/>
              <w:bottom w:type="dxa" w:w="90"/>
              <w:right w:type="dxa" w:w="80"/>
            </w:tcMar>
            <w:vAlign w:val="top"/>
          </w:tcPr>
          <w:p>
            <w:pPr>
              <w:jc w:val="left"/>
            </w:pPr>
            <w:r>
              <w:rPr>
                <w:b w:val="false"/>
                <w:bCs w:val="false"/>
                <w:color w:val="000000"/>
                <w:sz w:val="18"/>
                <w:szCs w:val="18"/>
              </w:rPr>
              <w:t xml:space="preserve">Compound / non-atomic requirement</w:t>
            </w:r>
          </w:p>
        </w:tc>
        <w:tc>
          <w:tcPr>
            <w:tcW w:type="dxa" w:w="3900"/>
            <w:shd w:fill="F2F2F2" w:val="clear"/>
            <w:tcMar>
              <w:top w:type="dxa" w:w="90"/>
              <w:left w:type="dxa" w:w="80"/>
              <w:bottom w:type="dxa" w:w="90"/>
              <w:right w:type="dxa" w:w="80"/>
            </w:tcMar>
            <w:vAlign w:val="top"/>
          </w:tcPr>
          <w:p>
            <w:pPr>
              <w:jc w:val="left"/>
            </w:pPr>
            <w:r>
              <w:rPr>
                <w:b w:val="false"/>
                <w:bCs w:val="false"/>
                <w:color w:val="000000"/>
                <w:sz w:val="18"/>
                <w:szCs w:val="18"/>
              </w:rPr>
              <w:t xml:space="preserve">One requirement demands defined retention periods for nine unrelated data categories (profiles, identity checks, documents, messages, media, transactions, disputes, audit logs, analytics).</w:t>
            </w:r>
          </w:p>
        </w:tc>
        <w:tc>
          <w:tcPr>
            <w:tcW w:type="dxa" w:w="4800"/>
            <w:shd w:fill="F2F2F2" w:val="clear"/>
            <w:tcMar>
              <w:top w:type="dxa" w:w="90"/>
              <w:left w:type="dxa" w:w="80"/>
              <w:bottom w:type="dxa" w:w="90"/>
              <w:right w:type="dxa" w:w="80"/>
            </w:tcMar>
            <w:vAlign w:val="top"/>
          </w:tcPr>
          <w:p>
            <w:pPr>
              <w:jc w:val="left"/>
            </w:pPr>
            <w:r>
              <w:rPr>
                <w:b w:val="false"/>
                <w:bCs w:val="false"/>
                <w:color w:val="000000"/>
                <w:sz w:val="18"/>
                <w:szCs w:val="18"/>
              </w:rPr>
              <w:t xml:space="preserve">Convert to a retention-schedule table (one row per data category with its own retention period and legal basis) rather than a single narrative requirement — this also gives §10's data dictionary a natural home for the same information.</w:t>
            </w:r>
          </w:p>
        </w:tc>
      </w:tr>
      <w:tr>
        <w:tc>
          <w:tcPr>
            <w:tcW w:type="dxa" w:w="900"/>
            <w:shd w:fill="FFFFFF" w:val="clear"/>
            <w:tcMar>
              <w:top w:type="dxa" w:w="90"/>
              <w:left w:type="dxa" w:w="80"/>
              <w:bottom w:type="dxa" w:w="90"/>
              <w:right w:type="dxa" w:w="80"/>
            </w:tcMar>
            <w:vAlign w:val="top"/>
          </w:tcPr>
          <w:p>
            <w:pPr>
              <w:jc w:val="left"/>
            </w:pPr>
            <w:r>
              <w:rPr>
                <w:b w:val="false"/>
                <w:bCs w:val="false"/>
                <w:color w:val="000000"/>
                <w:sz w:val="18"/>
                <w:szCs w:val="18"/>
              </w:rPr>
              <w:t xml:space="preserve">FR-DET-002</w:t>
            </w:r>
          </w:p>
        </w:tc>
        <w:tc>
          <w:tcPr>
            <w:tcW w:type="dxa" w:w="1450"/>
            <w:shd w:fill="FFFFFF" w:val="clear"/>
            <w:tcMar>
              <w:top w:type="dxa" w:w="90"/>
              <w:left w:type="dxa" w:w="80"/>
              <w:bottom w:type="dxa" w:w="90"/>
              <w:right w:type="dxa" w:w="80"/>
            </w:tcMar>
            <w:vAlign w:val="top"/>
          </w:tcPr>
          <w:p>
            <w:pPr>
              <w:jc w:val="left"/>
            </w:pPr>
            <w:r>
              <w:rPr>
                <w:b w:val="false"/>
                <w:bCs w:val="false"/>
                <w:color w:val="000000"/>
                <w:sz w:val="18"/>
                <w:szCs w:val="18"/>
              </w:rPr>
              <w:t xml:space="preserve">6.5 Property detail</w:t>
            </w:r>
          </w:p>
        </w:tc>
        <w:tc>
          <w:tcPr>
            <w:tcW w:type="dxa" w:w="1750"/>
            <w:shd w:fill="FFFFFF" w:val="clear"/>
            <w:tcMar>
              <w:top w:type="dxa" w:w="90"/>
              <w:left w:type="dxa" w:w="80"/>
              <w:bottom w:type="dxa" w:w="90"/>
              <w:right w:type="dxa" w:w="80"/>
            </w:tcMar>
            <w:vAlign w:val="top"/>
          </w:tcPr>
          <w:p>
            <w:pPr>
              <w:jc w:val="left"/>
            </w:pPr>
            <w:r>
              <w:rPr>
                <w:b w:val="false"/>
                <w:bCs w:val="false"/>
                <w:color w:val="000000"/>
                <w:sz w:val="18"/>
                <w:szCs w:val="18"/>
              </w:rPr>
              <w:t xml:space="preserve">Compound / non-atomic requirement</w:t>
            </w:r>
          </w:p>
        </w:tc>
        <w:tc>
          <w:tcPr>
            <w:tcW w:type="dxa" w:w="3900"/>
            <w:shd w:fill="FFFFFF" w:val="clear"/>
            <w:tcMar>
              <w:top w:type="dxa" w:w="90"/>
              <w:left w:type="dxa" w:w="80"/>
              <w:bottom w:type="dxa" w:w="90"/>
              <w:right w:type="dxa" w:w="80"/>
            </w:tcMar>
            <w:vAlign w:val="top"/>
          </w:tcPr>
          <w:p>
            <w:pPr>
              <w:jc w:val="left"/>
            </w:pPr>
            <w:r>
              <w:rPr>
                <w:b w:val="false"/>
                <w:bCs w:val="false"/>
                <w:color w:val="000000"/>
                <w:sz w:val="18"/>
                <w:szCs w:val="18"/>
              </w:rPr>
              <w:t xml:space="preserve">A single ID requires the display of twelve distinct fields (title, description, location, price, status, bedrooms, bathrooms, size, images, amenities, verification state, host summary, tour info). A missing field can't be traced to a specific failing test.</w:t>
            </w:r>
          </w:p>
        </w:tc>
        <w:tc>
          <w:tcPr>
            <w:tcW w:type="dxa" w:w="4800"/>
            <w:shd w:fill="FFFFFF" w:val="clear"/>
            <w:tcMar>
              <w:top w:type="dxa" w:w="90"/>
              <w:left w:type="dxa" w:w="80"/>
              <w:bottom w:type="dxa" w:w="90"/>
              <w:right w:type="dxa" w:w="80"/>
            </w:tcMar>
            <w:vAlign w:val="top"/>
          </w:tcPr>
          <w:p>
            <w:pPr>
              <w:jc w:val="left"/>
            </w:pPr>
            <w:r>
              <w:rPr>
                <w:b w:val="false"/>
                <w:bCs w:val="false"/>
                <w:color w:val="000000"/>
                <w:sz w:val="18"/>
                <w:szCs w:val="18"/>
              </w:rPr>
              <w:t xml:space="preserve">Decompose into one requirement per field group, or restructure as a required-field checklist with its own sub-IDs so a missing amenity display doesn't invalidate the entire requirement's pass/fail state.</w:t>
            </w:r>
          </w:p>
        </w:tc>
      </w:tr>
      <w:tr>
        <w:tc>
          <w:tcPr>
            <w:tcW w:type="dxa" w:w="900"/>
            <w:shd w:fill="F2F2F2" w:val="clear"/>
            <w:tcMar>
              <w:top w:type="dxa" w:w="90"/>
              <w:left w:type="dxa" w:w="80"/>
              <w:bottom w:type="dxa" w:w="90"/>
              <w:right w:type="dxa" w:w="80"/>
            </w:tcMar>
            <w:vAlign w:val="top"/>
          </w:tcPr>
          <w:p>
            <w:pPr>
              <w:jc w:val="left"/>
            </w:pPr>
            <w:r>
              <w:rPr>
                <w:b w:val="false"/>
                <w:bCs w:val="false"/>
                <w:color w:val="000000"/>
                <w:sz w:val="18"/>
                <w:szCs w:val="18"/>
              </w:rPr>
              <w:t xml:space="preserve">FR-LST-004</w:t>
            </w:r>
          </w:p>
        </w:tc>
        <w:tc>
          <w:tcPr>
            <w:tcW w:type="dxa" w:w="1450"/>
            <w:shd w:fill="F2F2F2" w:val="clear"/>
            <w:tcMar>
              <w:top w:type="dxa" w:w="90"/>
              <w:left w:type="dxa" w:w="80"/>
              <w:bottom w:type="dxa" w:w="90"/>
              <w:right w:type="dxa" w:w="80"/>
            </w:tcMar>
            <w:vAlign w:val="top"/>
          </w:tcPr>
          <w:p>
            <w:pPr>
              <w:jc w:val="left"/>
            </w:pPr>
            <w:r>
              <w:rPr>
                <w:b w:val="false"/>
                <w:bCs w:val="false"/>
                <w:color w:val="000000"/>
                <w:sz w:val="18"/>
                <w:szCs w:val="18"/>
              </w:rPr>
              <w:t xml:space="preserve">6.6 Listing mgmt</w:t>
            </w:r>
          </w:p>
        </w:tc>
        <w:tc>
          <w:tcPr>
            <w:tcW w:type="dxa" w:w="1750"/>
            <w:shd w:fill="F2F2F2" w:val="clear"/>
            <w:tcMar>
              <w:top w:type="dxa" w:w="90"/>
              <w:left w:type="dxa" w:w="80"/>
              <w:bottom w:type="dxa" w:w="90"/>
              <w:right w:type="dxa" w:w="80"/>
            </w:tcMar>
            <w:vAlign w:val="top"/>
          </w:tcPr>
          <w:p>
            <w:pPr>
              <w:jc w:val="left"/>
            </w:pPr>
            <w:r>
              <w:rPr>
                <w:b w:val="false"/>
                <w:bCs w:val="false"/>
                <w:color w:val="000000"/>
                <w:sz w:val="18"/>
                <w:szCs w:val="18"/>
              </w:rPr>
              <w:t xml:space="preserve">Compound requirement + undefined dependency</w:t>
            </w:r>
          </w:p>
        </w:tc>
        <w:tc>
          <w:tcPr>
            <w:tcW w:type="dxa" w:w="3900"/>
            <w:shd w:fill="F2F2F2" w:val="clear"/>
            <w:tcMar>
              <w:top w:type="dxa" w:w="90"/>
              <w:left w:type="dxa" w:w="80"/>
              <w:bottom w:type="dxa" w:w="90"/>
              <w:right w:type="dxa" w:w="80"/>
            </w:tcMar>
            <w:vAlign w:val="top"/>
          </w:tcPr>
          <w:p>
            <w:pPr>
              <w:jc w:val="left"/>
            </w:pPr>
            <w:r>
              <w:rPr>
                <w:b w:val="false"/>
                <w:bCs w:val="false"/>
                <w:color w:val="000000"/>
                <w:sz w:val="18"/>
                <w:szCs w:val="18"/>
              </w:rPr>
              <w:t xml:space="preserve">Requires collecting title, description, address, price, bedrooms, bathrooms, square footage, status, and seller identity “required by the backend contract” — both bundles many fields into one ID and points to a backend contract §11 itself flags as unconfirmed.</w:t>
            </w:r>
          </w:p>
        </w:tc>
        <w:tc>
          <w:tcPr>
            <w:tcW w:type="dxa" w:w="4800"/>
            <w:shd w:fill="F2F2F2" w:val="clear"/>
            <w:tcMar>
              <w:top w:type="dxa" w:w="90"/>
              <w:left w:type="dxa" w:w="80"/>
              <w:bottom w:type="dxa" w:w="90"/>
              <w:right w:type="dxa" w:w="80"/>
            </w:tcMar>
            <w:vAlign w:val="top"/>
          </w:tcPr>
          <w:p>
            <w:pPr>
              <w:jc w:val="left"/>
            </w:pPr>
            <w:r>
              <w:rPr>
                <w:b w:val="false"/>
                <w:bCs w:val="false"/>
                <w:color w:val="000000"/>
                <w:sz w:val="18"/>
                <w:szCs w:val="18"/>
              </w:rPr>
              <w:t xml:space="preserve">Split by field group; replace “required by the backend contract” with the explicit field list once the contract is confirmed, or mark this item's basis as TBD until then.</w:t>
            </w:r>
          </w:p>
        </w:tc>
      </w:tr>
      <w:tr>
        <w:tc>
          <w:tcPr>
            <w:tcW w:type="dxa" w:w="900"/>
            <w:shd w:fill="FFFFFF" w:val="clear"/>
            <w:tcMar>
              <w:top w:type="dxa" w:w="90"/>
              <w:left w:type="dxa" w:w="80"/>
              <w:bottom w:type="dxa" w:w="90"/>
              <w:right w:type="dxa" w:w="80"/>
            </w:tcMar>
            <w:vAlign w:val="top"/>
          </w:tcPr>
          <w:p>
            <w:pPr>
              <w:jc w:val="left"/>
            </w:pPr>
            <w:r>
              <w:rPr>
                <w:b w:val="false"/>
                <w:bCs w:val="false"/>
                <w:color w:val="000000"/>
                <w:sz w:val="18"/>
                <w:szCs w:val="18"/>
              </w:rPr>
              <w:t xml:space="preserve">FR-DAS-003</w:t>
            </w:r>
          </w:p>
        </w:tc>
        <w:tc>
          <w:tcPr>
            <w:tcW w:type="dxa" w:w="1450"/>
            <w:shd w:fill="FFFFFF" w:val="clear"/>
            <w:tcMar>
              <w:top w:type="dxa" w:w="90"/>
              <w:left w:type="dxa" w:w="80"/>
              <w:bottom w:type="dxa" w:w="90"/>
              <w:right w:type="dxa" w:w="80"/>
            </w:tcMar>
            <w:vAlign w:val="top"/>
          </w:tcPr>
          <w:p>
            <w:pPr>
              <w:jc w:val="left"/>
            </w:pPr>
            <w:r>
              <w:rPr>
                <w:b w:val="false"/>
                <w:bCs w:val="false"/>
                <w:color w:val="000000"/>
                <w:sz w:val="18"/>
                <w:szCs w:val="18"/>
              </w:rPr>
              <w:t xml:space="preserve">6.10 Dashboards</w:t>
            </w:r>
          </w:p>
        </w:tc>
        <w:tc>
          <w:tcPr>
            <w:tcW w:type="dxa" w:w="1750"/>
            <w:shd w:fill="FFFFFF" w:val="clear"/>
            <w:tcMar>
              <w:top w:type="dxa" w:w="90"/>
              <w:left w:type="dxa" w:w="80"/>
              <w:bottom w:type="dxa" w:w="90"/>
              <w:right w:type="dxa" w:w="80"/>
            </w:tcMar>
            <w:vAlign w:val="top"/>
          </w:tcPr>
          <w:p>
            <w:pPr>
              <w:jc w:val="left"/>
            </w:pPr>
            <w:r>
              <w:rPr>
                <w:b w:val="false"/>
                <w:bCs w:val="false"/>
                <w:color w:val="000000"/>
                <w:sz w:val="18"/>
                <w:szCs w:val="18"/>
              </w:rPr>
              <w:t xml:space="preserve">Compound requirement + Must undermined by hedge</w:t>
            </w:r>
          </w:p>
        </w:tc>
        <w:tc>
          <w:tcPr>
            <w:tcW w:type="dxa" w:w="3900"/>
            <w:shd w:fill="FFFFFF" w:val="clear"/>
            <w:tcMar>
              <w:top w:type="dxa" w:w="90"/>
              <w:left w:type="dxa" w:w="80"/>
              <w:bottom w:type="dxa" w:w="90"/>
              <w:right w:type="dxa" w:w="80"/>
            </w:tcMar>
            <w:vAlign w:val="top"/>
          </w:tcPr>
          <w:p>
            <w:pPr>
              <w:jc w:val="left"/>
            </w:pPr>
            <w:r>
              <w:rPr>
                <w:b w:val="false"/>
                <w:bCs w:val="false"/>
                <w:color w:val="000000"/>
                <w:sz w:val="18"/>
                <w:szCs w:val="18"/>
              </w:rPr>
              <w:t xml:space="preserve">Bundles five distinct dashboard elements into one ID, and “pending requests or offers where applicable” attached to a Must priority lets the requirement be trivially satisfied by asserting the exception applies.</w:t>
            </w:r>
          </w:p>
        </w:tc>
        <w:tc>
          <w:tcPr>
            <w:tcW w:type="dxa" w:w="4800"/>
            <w:shd w:fill="FFFFFF" w:val="clear"/>
            <w:tcMar>
              <w:top w:type="dxa" w:w="90"/>
              <w:left w:type="dxa" w:w="80"/>
              <w:bottom w:type="dxa" w:w="90"/>
              <w:right w:type="dxa" w:w="80"/>
            </w:tcMar>
            <w:vAlign w:val="top"/>
          </w:tcPr>
          <w:p>
            <w:pPr>
              <w:jc w:val="left"/>
            </w:pPr>
            <w:r>
              <w:rPr>
                <w:b w:val="false"/>
                <w:bCs w:val="false"/>
                <w:color w:val="000000"/>
                <w:sz w:val="18"/>
                <w:szCs w:val="18"/>
              </w:rPr>
              <w:t xml:space="preserve">Split into one requirement per dashboard element; replace “where applicable” with explicit conditions under which each element is shown or hidden.</w:t>
            </w:r>
          </w:p>
        </w:tc>
      </w:tr>
      <w:tr>
        <w:tc>
          <w:tcPr>
            <w:tcW w:type="dxa" w:w="900"/>
            <w:shd w:fill="F2F2F2" w:val="clear"/>
            <w:tcMar>
              <w:top w:type="dxa" w:w="90"/>
              <w:left w:type="dxa" w:w="80"/>
              <w:bottom w:type="dxa" w:w="90"/>
              <w:right w:type="dxa" w:w="80"/>
            </w:tcMar>
            <w:vAlign w:val="top"/>
          </w:tcPr>
          <w:p>
            <w:pPr>
              <w:jc w:val="left"/>
            </w:pPr>
            <w:r>
              <w:rPr>
                <w:b w:val="false"/>
                <w:bCs w:val="false"/>
                <w:color w:val="000000"/>
                <w:sz w:val="18"/>
                <w:szCs w:val="18"/>
              </w:rPr>
              <w:t xml:space="preserve">FR-DIS-009 / FR-DAS-009</w:t>
            </w:r>
          </w:p>
        </w:tc>
        <w:tc>
          <w:tcPr>
            <w:tcW w:type="dxa" w:w="1450"/>
            <w:shd w:fill="F2F2F2" w:val="clear"/>
            <w:tcMar>
              <w:top w:type="dxa" w:w="90"/>
              <w:left w:type="dxa" w:w="80"/>
              <w:bottom w:type="dxa" w:w="90"/>
              <w:right w:type="dxa" w:w="80"/>
            </w:tcMar>
            <w:vAlign w:val="top"/>
          </w:tcPr>
          <w:p>
            <w:pPr>
              <w:jc w:val="left"/>
            </w:pPr>
            <w:r>
              <w:rPr>
                <w:b w:val="false"/>
                <w:bCs w:val="false"/>
                <w:color w:val="000000"/>
                <w:sz w:val="18"/>
                <w:szCs w:val="18"/>
              </w:rPr>
              <w:t xml:space="preserve">6.4 / 6.10</w:t>
            </w:r>
          </w:p>
        </w:tc>
        <w:tc>
          <w:tcPr>
            <w:tcW w:type="dxa" w:w="1750"/>
            <w:shd w:fill="F2F2F2" w:val="clear"/>
            <w:tcMar>
              <w:top w:type="dxa" w:w="90"/>
              <w:left w:type="dxa" w:w="80"/>
              <w:bottom w:type="dxa" w:w="90"/>
              <w:right w:type="dxa" w:w="80"/>
            </w:tcMar>
            <w:vAlign w:val="top"/>
          </w:tcPr>
          <w:p>
            <w:pPr>
              <w:jc w:val="left"/>
            </w:pPr>
            <w:r>
              <w:rPr>
                <w:b w:val="false"/>
                <w:bCs w:val="false"/>
                <w:color w:val="000000"/>
                <w:sz w:val="18"/>
                <w:szCs w:val="18"/>
              </w:rPr>
              <w:t xml:space="preserve">Subjective, unfalsifiable language</w:t>
            </w:r>
          </w:p>
        </w:tc>
        <w:tc>
          <w:tcPr>
            <w:tcW w:type="dxa" w:w="3900"/>
            <w:shd w:fill="F2F2F2" w:val="clear"/>
            <w:tcMar>
              <w:top w:type="dxa" w:w="90"/>
              <w:left w:type="dxa" w:w="80"/>
              <w:bottom w:type="dxa" w:w="90"/>
              <w:right w:type="dxa" w:w="80"/>
            </w:tcMar>
            <w:vAlign w:val="top"/>
          </w:tcPr>
          <w:p>
            <w:pPr>
              <w:jc w:val="left"/>
            </w:pPr>
            <w:r>
              <w:rPr>
                <w:b w:val="false"/>
                <w:bCs w:val="false"/>
                <w:color w:val="000000"/>
                <w:sz w:val="18"/>
                <w:szCs w:val="18"/>
              </w:rPr>
              <w:t xml:space="preserve">“Useful empty, loading, partial failure, and retry states” — “useful” has no objective test.</w:t>
            </w:r>
          </w:p>
        </w:tc>
        <w:tc>
          <w:tcPr>
            <w:tcW w:type="dxa" w:w="4800"/>
            <w:shd w:fill="F2F2F2" w:val="clear"/>
            <w:tcMar>
              <w:top w:type="dxa" w:w="90"/>
              <w:left w:type="dxa" w:w="80"/>
              <w:bottom w:type="dxa" w:w="90"/>
              <w:right w:type="dxa" w:w="80"/>
            </w:tcMar>
            <w:vAlign w:val="top"/>
          </w:tcPr>
          <w:p>
            <w:pPr>
              <w:jc w:val="left"/>
            </w:pPr>
            <w:r>
              <w:rPr>
                <w:b w:val="false"/>
                <w:bCs w:val="false"/>
                <w:color w:val="000000"/>
                <w:sz w:val="18"/>
                <w:szCs w:val="18"/>
              </w:rPr>
              <w:t xml:space="preserve">“Each view shall display a named state (loading, empty, error, or partial-failure) with a user-facing message and, for error/partial-failure states, a retry action.”</w:t>
            </w:r>
          </w:p>
        </w:tc>
      </w:tr>
      <w:tr>
        <w:tc>
          <w:tcPr>
            <w:tcW w:type="dxa" w:w="900"/>
            <w:shd w:fill="FFFFFF" w:val="clear"/>
            <w:tcMar>
              <w:top w:type="dxa" w:w="90"/>
              <w:left w:type="dxa" w:w="80"/>
              <w:bottom w:type="dxa" w:w="90"/>
              <w:right w:type="dxa" w:w="80"/>
            </w:tcMar>
            <w:vAlign w:val="top"/>
          </w:tcPr>
          <w:p>
            <w:pPr>
              <w:jc w:val="left"/>
            </w:pPr>
            <w:r>
              <w:rPr>
                <w:b w:val="false"/>
                <w:bCs w:val="false"/>
                <w:color w:val="000000"/>
                <w:sz w:val="18"/>
                <w:szCs w:val="18"/>
              </w:rPr>
              <w:t xml:space="preserve">FR-PRO-003</w:t>
            </w:r>
          </w:p>
        </w:tc>
        <w:tc>
          <w:tcPr>
            <w:tcW w:type="dxa" w:w="1450"/>
            <w:shd w:fill="FFFFFF" w:val="clear"/>
            <w:tcMar>
              <w:top w:type="dxa" w:w="90"/>
              <w:left w:type="dxa" w:w="80"/>
              <w:bottom w:type="dxa" w:w="90"/>
              <w:right w:type="dxa" w:w="80"/>
            </w:tcMar>
            <w:vAlign w:val="top"/>
          </w:tcPr>
          <w:p>
            <w:pPr>
              <w:jc w:val="left"/>
            </w:pPr>
            <w:r>
              <w:rPr>
                <w:b w:val="false"/>
                <w:bCs w:val="false"/>
                <w:color w:val="000000"/>
                <w:sz w:val="18"/>
                <w:szCs w:val="18"/>
              </w:rPr>
              <w:t xml:space="preserve">6.3 Profile</w:t>
            </w:r>
          </w:p>
        </w:tc>
        <w:tc>
          <w:tcPr>
            <w:tcW w:type="dxa" w:w="1750"/>
            <w:shd w:fill="FFFFFF" w:val="clear"/>
            <w:tcMar>
              <w:top w:type="dxa" w:w="90"/>
              <w:left w:type="dxa" w:w="80"/>
              <w:bottom w:type="dxa" w:w="90"/>
              <w:right w:type="dxa" w:w="80"/>
            </w:tcMar>
            <w:vAlign w:val="top"/>
          </w:tcPr>
          <w:p>
            <w:pPr>
              <w:jc w:val="left"/>
            </w:pPr>
            <w:r>
              <w:rPr>
                <w:b w:val="false"/>
                <w:bCs w:val="false"/>
                <w:color w:val="000000"/>
                <w:sz w:val="18"/>
                <w:szCs w:val="18"/>
              </w:rPr>
              <w:t xml:space="preserve">Subjective, unfalsifiable language</w:t>
            </w:r>
          </w:p>
        </w:tc>
        <w:tc>
          <w:tcPr>
            <w:tcW w:type="dxa" w:w="3900"/>
            <w:shd w:fill="FFFFFF" w:val="clear"/>
            <w:tcMar>
              <w:top w:type="dxa" w:w="90"/>
              <w:left w:type="dxa" w:w="80"/>
              <w:bottom w:type="dxa" w:w="90"/>
              <w:right w:type="dxa" w:w="80"/>
            </w:tcMar>
            <w:vAlign w:val="top"/>
          </w:tcPr>
          <w:p>
            <w:pPr>
              <w:jc w:val="left"/>
            </w:pPr>
            <w:r>
              <w:rPr>
                <w:b w:val="false"/>
                <w:bCs w:val="false"/>
                <w:color w:val="000000"/>
                <w:sz w:val="18"/>
                <w:szCs w:val="18"/>
              </w:rPr>
              <w:t xml:space="preserve">“Shall clearly identify immutable or verification-controlled fields” — “clearly” is not testable.</w:t>
            </w:r>
          </w:p>
        </w:tc>
        <w:tc>
          <w:tcPr>
            <w:tcW w:type="dxa" w:w="4800"/>
            <w:shd w:fill="FFFFFF" w:val="clear"/>
            <w:tcMar>
              <w:top w:type="dxa" w:w="90"/>
              <w:left w:type="dxa" w:w="80"/>
              <w:bottom w:type="dxa" w:w="90"/>
              <w:right w:type="dxa" w:w="80"/>
            </w:tcMar>
            <w:vAlign w:val="top"/>
          </w:tcPr>
          <w:p>
            <w:pPr>
              <w:jc w:val="left"/>
            </w:pPr>
            <w:r>
              <w:rPr>
                <w:b w:val="false"/>
                <w:bCs w:val="false"/>
                <w:color w:val="000000"/>
                <w:sz w:val="18"/>
                <w:szCs w:val="18"/>
              </w:rPr>
              <w:t xml:space="preserve">“Shall visually distinguish immutable and verification-controlled fields from editable fields (e.g., disabled state plus an explanatory label) in every profile view.”</w:t>
            </w:r>
          </w:p>
        </w:tc>
      </w:tr>
      <w:tr>
        <w:tc>
          <w:tcPr>
            <w:tcW w:type="dxa" w:w="900"/>
            <w:shd w:fill="F2F2F2" w:val="clear"/>
            <w:tcMar>
              <w:top w:type="dxa" w:w="90"/>
              <w:left w:type="dxa" w:w="80"/>
              <w:bottom w:type="dxa" w:w="90"/>
              <w:right w:type="dxa" w:w="80"/>
            </w:tcMar>
            <w:vAlign w:val="top"/>
          </w:tcPr>
          <w:p>
            <w:pPr>
              <w:jc w:val="left"/>
            </w:pPr>
            <w:r>
              <w:rPr>
                <w:b w:val="false"/>
                <w:bCs w:val="false"/>
                <w:color w:val="000000"/>
                <w:sz w:val="18"/>
                <w:szCs w:val="18"/>
              </w:rPr>
              <w:t xml:space="preserve">FR-DET-006</w:t>
            </w:r>
          </w:p>
        </w:tc>
        <w:tc>
          <w:tcPr>
            <w:tcW w:type="dxa" w:w="1450"/>
            <w:shd w:fill="F2F2F2" w:val="clear"/>
            <w:tcMar>
              <w:top w:type="dxa" w:w="90"/>
              <w:left w:type="dxa" w:w="80"/>
              <w:bottom w:type="dxa" w:w="90"/>
              <w:right w:type="dxa" w:w="80"/>
            </w:tcMar>
            <w:vAlign w:val="top"/>
          </w:tcPr>
          <w:p>
            <w:pPr>
              <w:jc w:val="left"/>
            </w:pPr>
            <w:r>
              <w:rPr>
                <w:b w:val="false"/>
                <w:bCs w:val="false"/>
                <w:color w:val="000000"/>
                <w:sz w:val="18"/>
                <w:szCs w:val="18"/>
              </w:rPr>
              <w:t xml:space="preserve">6.5 Property detail</w:t>
            </w:r>
          </w:p>
        </w:tc>
        <w:tc>
          <w:tcPr>
            <w:tcW w:type="dxa" w:w="1750"/>
            <w:shd w:fill="F2F2F2" w:val="clear"/>
            <w:tcMar>
              <w:top w:type="dxa" w:w="90"/>
              <w:left w:type="dxa" w:w="80"/>
              <w:bottom w:type="dxa" w:w="90"/>
              <w:right w:type="dxa" w:w="80"/>
            </w:tcMar>
            <w:vAlign w:val="top"/>
          </w:tcPr>
          <w:p>
            <w:pPr>
              <w:jc w:val="left"/>
            </w:pPr>
            <w:r>
              <w:rPr>
                <w:b w:val="false"/>
                <w:bCs w:val="false"/>
                <w:color w:val="000000"/>
                <w:sz w:val="18"/>
                <w:szCs w:val="18"/>
              </w:rPr>
              <w:t xml:space="preserve">Subjective, unfalsifiable language</w:t>
            </w:r>
          </w:p>
        </w:tc>
        <w:tc>
          <w:tcPr>
            <w:tcW w:type="dxa" w:w="3900"/>
            <w:shd w:fill="F2F2F2" w:val="clear"/>
            <w:tcMar>
              <w:top w:type="dxa" w:w="90"/>
              <w:left w:type="dxa" w:w="80"/>
              <w:bottom w:type="dxa" w:w="90"/>
              <w:right w:type="dxa" w:w="80"/>
            </w:tcMar>
            <w:vAlign w:val="top"/>
          </w:tcPr>
          <w:p>
            <w:pPr>
              <w:jc w:val="left"/>
            </w:pPr>
            <w:r>
              <w:rPr>
                <w:b w:val="false"/>
                <w:bCs w:val="false"/>
                <w:color w:val="000000"/>
                <w:sz w:val="18"/>
                <w:szCs w:val="18"/>
              </w:rPr>
              <w:t xml:space="preserve">“Context-appropriate primary actions” is a design judgment call, not a testable condition.</w:t>
            </w:r>
          </w:p>
        </w:tc>
        <w:tc>
          <w:tcPr>
            <w:tcW w:type="dxa" w:w="4800"/>
            <w:shd w:fill="F2F2F2" w:val="clear"/>
            <w:tcMar>
              <w:top w:type="dxa" w:w="90"/>
              <w:left w:type="dxa" w:w="80"/>
              <w:bottom w:type="dxa" w:w="90"/>
              <w:right w:type="dxa" w:w="80"/>
            </w:tcMar>
            <w:vAlign w:val="top"/>
          </w:tcPr>
          <w:p>
            <w:pPr>
              <w:jc w:val="left"/>
            </w:pPr>
            <w:r>
              <w:rPr>
                <w:b w:val="false"/>
                <w:bCs w:val="false"/>
                <w:color w:val="000000"/>
                <w:sz w:val="18"/>
                <w:szCs w:val="18"/>
              </w:rPr>
              <w:t xml:space="preserve">“Shall display a Book action on rental listings and a Make Offer action on sale listings, and no other primary action.”</w:t>
            </w:r>
          </w:p>
        </w:tc>
      </w:tr>
      <w:tr>
        <w:tc>
          <w:tcPr>
            <w:tcW w:type="dxa" w:w="900"/>
            <w:shd w:fill="FFFFFF" w:val="clear"/>
            <w:tcMar>
              <w:top w:type="dxa" w:w="90"/>
              <w:left w:type="dxa" w:w="80"/>
              <w:bottom w:type="dxa" w:w="90"/>
              <w:right w:type="dxa" w:w="80"/>
            </w:tcMar>
            <w:vAlign w:val="top"/>
          </w:tcPr>
          <w:p>
            <w:pPr>
              <w:jc w:val="left"/>
            </w:pPr>
            <w:r>
              <w:rPr>
                <w:b w:val="false"/>
                <w:bCs w:val="false"/>
                <w:color w:val="000000"/>
                <w:sz w:val="18"/>
                <w:szCs w:val="18"/>
              </w:rPr>
              <w:t xml:space="preserve">FR-DET-005 / FR-VER-017</w:t>
            </w:r>
          </w:p>
        </w:tc>
        <w:tc>
          <w:tcPr>
            <w:tcW w:type="dxa" w:w="1450"/>
            <w:shd w:fill="FFFFFF" w:val="clear"/>
            <w:tcMar>
              <w:top w:type="dxa" w:w="90"/>
              <w:left w:type="dxa" w:w="80"/>
              <w:bottom w:type="dxa" w:w="90"/>
              <w:right w:type="dxa" w:w="80"/>
            </w:tcMar>
            <w:vAlign w:val="top"/>
          </w:tcPr>
          <w:p>
            <w:pPr>
              <w:jc w:val="left"/>
            </w:pPr>
            <w:r>
              <w:rPr>
                <w:b w:val="false"/>
                <w:bCs w:val="false"/>
                <w:color w:val="000000"/>
                <w:sz w:val="18"/>
                <w:szCs w:val="18"/>
              </w:rPr>
              <w:t xml:space="preserve">6.5 / 6.7</w:t>
            </w:r>
          </w:p>
        </w:tc>
        <w:tc>
          <w:tcPr>
            <w:tcW w:type="dxa" w:w="1750"/>
            <w:shd w:fill="FFFFFF" w:val="clear"/>
            <w:tcMar>
              <w:top w:type="dxa" w:w="90"/>
              <w:left w:type="dxa" w:w="80"/>
              <w:bottom w:type="dxa" w:w="90"/>
              <w:right w:type="dxa" w:w="80"/>
            </w:tcMar>
            <w:vAlign w:val="top"/>
          </w:tcPr>
          <w:p>
            <w:pPr>
              <w:jc w:val="left"/>
            </w:pPr>
            <w:r>
              <w:rPr>
                <w:b w:val="false"/>
                <w:bCs w:val="false"/>
                <w:color w:val="000000"/>
                <w:sz w:val="18"/>
                <w:szCs w:val="18"/>
              </w:rPr>
              <w:t xml:space="preserve">Subjective / redundant phrasing</w:t>
            </w:r>
          </w:p>
        </w:tc>
        <w:tc>
          <w:tcPr>
            <w:tcW w:type="dxa" w:w="3900"/>
            <w:shd w:fill="FFFFFF" w:val="clear"/>
            <w:tcMar>
              <w:top w:type="dxa" w:w="90"/>
              <w:left w:type="dxa" w:w="80"/>
              <w:bottom w:type="dxa" w:w="90"/>
              <w:right w:type="dxa" w:w="80"/>
            </w:tcMar>
            <w:vAlign w:val="top"/>
          </w:tcPr>
          <w:p>
            <w:pPr>
              <w:jc w:val="left"/>
            </w:pPr>
            <w:r>
              <w:rPr>
                <w:b w:val="false"/>
                <w:bCs w:val="false"/>
                <w:color w:val="000000"/>
                <w:sz w:val="18"/>
                <w:szCs w:val="18"/>
              </w:rPr>
              <w:t xml:space="preserve">“Consistent verified badge only when the corresponding verification record is valid” and “shall not represent an OCR or geofence confidence result as approved unless the backend returns an approved state” both restate the same underlying rule (badge state must mirror backend truth) using different, non-testable wording (“consistent”).</w:t>
            </w:r>
          </w:p>
        </w:tc>
        <w:tc>
          <w:tcPr>
            <w:tcW w:type="dxa" w:w="4800"/>
            <w:shd w:fill="FFFFFF" w:val="clear"/>
            <w:tcMar>
              <w:top w:type="dxa" w:w="90"/>
              <w:left w:type="dxa" w:w="80"/>
              <w:bottom w:type="dxa" w:w="90"/>
              <w:right w:type="dxa" w:w="80"/>
            </w:tcMar>
            <w:vAlign w:val="top"/>
          </w:tcPr>
          <w:p>
            <w:pPr>
              <w:jc w:val="left"/>
            </w:pPr>
            <w:r>
              <w:rPr>
                <w:b w:val="false"/>
                <w:bCs w:val="false"/>
                <w:color w:val="000000"/>
                <w:sz w:val="18"/>
                <w:szCs w:val="18"/>
              </w:rPr>
              <w:t xml:space="preserve">Consolidate into one canonical rule (e.g., a business rule in §9: “A verified badge or state label shall only render when the authoritative backend record for that verification type is in an approved state”) and have both FRs reference it by ID.</w:t>
            </w:r>
          </w:p>
        </w:tc>
      </w:tr>
      <w:tr>
        <w:tc>
          <w:tcPr>
            <w:tcW w:type="dxa" w:w="900"/>
            <w:shd w:fill="F2F2F2" w:val="clear"/>
            <w:tcMar>
              <w:top w:type="dxa" w:w="90"/>
              <w:left w:type="dxa" w:w="80"/>
              <w:bottom w:type="dxa" w:w="90"/>
              <w:right w:type="dxa" w:w="80"/>
            </w:tcMar>
            <w:vAlign w:val="top"/>
          </w:tcPr>
          <w:p>
            <w:pPr>
              <w:jc w:val="left"/>
            </w:pPr>
            <w:r>
              <w:rPr>
                <w:b w:val="false"/>
                <w:bCs w:val="false"/>
                <w:color w:val="000000"/>
                <w:sz w:val="18"/>
                <w:szCs w:val="18"/>
              </w:rPr>
              <w:t xml:space="preserve">FR-DAS-007</w:t>
            </w:r>
          </w:p>
        </w:tc>
        <w:tc>
          <w:tcPr>
            <w:tcW w:type="dxa" w:w="1450"/>
            <w:shd w:fill="F2F2F2" w:val="clear"/>
            <w:tcMar>
              <w:top w:type="dxa" w:w="90"/>
              <w:left w:type="dxa" w:w="80"/>
              <w:bottom w:type="dxa" w:w="90"/>
              <w:right w:type="dxa" w:w="80"/>
            </w:tcMar>
            <w:vAlign w:val="top"/>
          </w:tcPr>
          <w:p>
            <w:pPr>
              <w:jc w:val="left"/>
            </w:pPr>
            <w:r>
              <w:rPr>
                <w:b w:val="false"/>
                <w:bCs w:val="false"/>
                <w:color w:val="000000"/>
                <w:sz w:val="18"/>
                <w:szCs w:val="18"/>
              </w:rPr>
              <w:t xml:space="preserve">6.10 Dashboards</w:t>
            </w:r>
          </w:p>
        </w:tc>
        <w:tc>
          <w:tcPr>
            <w:tcW w:type="dxa" w:w="1750"/>
            <w:shd w:fill="F2F2F2" w:val="clear"/>
            <w:tcMar>
              <w:top w:type="dxa" w:w="90"/>
              <w:left w:type="dxa" w:w="80"/>
              <w:bottom w:type="dxa" w:w="90"/>
              <w:right w:type="dxa" w:w="80"/>
            </w:tcMar>
            <w:vAlign w:val="top"/>
          </w:tcPr>
          <w:p>
            <w:pPr>
              <w:jc w:val="left"/>
            </w:pPr>
            <w:r>
              <w:rPr>
                <w:b w:val="false"/>
                <w:bCs w:val="false"/>
                <w:color w:val="000000"/>
                <w:sz w:val="18"/>
                <w:szCs w:val="18"/>
              </w:rPr>
              <w:t xml:space="preserve">Subjective, undefined ranking logic</w:t>
            </w:r>
          </w:p>
        </w:tc>
        <w:tc>
          <w:tcPr>
            <w:tcW w:type="dxa" w:w="3900"/>
            <w:shd w:fill="F2F2F2" w:val="clear"/>
            <w:tcMar>
              <w:top w:type="dxa" w:w="90"/>
              <w:left w:type="dxa" w:w="80"/>
              <w:bottom w:type="dxa" w:w="90"/>
              <w:right w:type="dxa" w:w="80"/>
            </w:tcMar>
            <w:vAlign w:val="top"/>
          </w:tcPr>
          <w:p>
            <w:pPr>
              <w:jc w:val="left"/>
            </w:pPr>
            <w:r>
              <w:rPr>
                <w:b w:val="false"/>
                <w:bCs w:val="false"/>
                <w:color w:val="000000"/>
                <w:sz w:val="18"/>
                <w:szCs w:val="18"/>
              </w:rPr>
              <w:t xml:space="preserve">“Direct navigation to the user's highest-priority incomplete action” — no priority-ranking algorithm is defined anywhere in the document.</w:t>
            </w:r>
          </w:p>
        </w:tc>
        <w:tc>
          <w:tcPr>
            <w:tcW w:type="dxa" w:w="4800"/>
            <w:shd w:fill="F2F2F2" w:val="clear"/>
            <w:tcMar>
              <w:top w:type="dxa" w:w="90"/>
              <w:left w:type="dxa" w:w="80"/>
              <w:bottom w:type="dxa" w:w="90"/>
              <w:right w:type="dxa" w:w="80"/>
            </w:tcMar>
            <w:vAlign w:val="top"/>
          </w:tcPr>
          <w:p>
            <w:pPr>
              <w:jc w:val="left"/>
            </w:pPr>
            <w:r>
              <w:rPr>
                <w:b w:val="false"/>
                <w:bCs w:val="false"/>
                <w:color w:val="000000"/>
                <w:sz w:val="18"/>
                <w:szCs w:val="18"/>
              </w:rPr>
              <w:t xml:space="preserve">Either define the ranking logic (e.g., an ordered list of action types) as part of this requirement, or downgrade to Should and note the ranking rule as an open decision.</w:t>
            </w:r>
          </w:p>
        </w:tc>
      </w:tr>
      <w:tr>
        <w:tc>
          <w:tcPr>
            <w:tcW w:type="dxa" w:w="900"/>
            <w:shd w:fill="FFFFFF" w:val="clear"/>
            <w:tcMar>
              <w:top w:type="dxa" w:w="90"/>
              <w:left w:type="dxa" w:w="80"/>
              <w:bottom w:type="dxa" w:w="90"/>
              <w:right w:type="dxa" w:w="80"/>
            </w:tcMar>
            <w:vAlign w:val="top"/>
          </w:tcPr>
          <w:p>
            <w:pPr>
              <w:jc w:val="left"/>
            </w:pPr>
            <w:r>
              <w:rPr>
                <w:b w:val="false"/>
                <w:bCs w:val="false"/>
                <w:color w:val="000000"/>
                <w:sz w:val="18"/>
                <w:szCs w:val="18"/>
              </w:rPr>
              <w:t xml:space="preserve">FR-AUTH-009</w:t>
            </w:r>
          </w:p>
        </w:tc>
        <w:tc>
          <w:tcPr>
            <w:tcW w:type="dxa" w:w="1450"/>
            <w:shd w:fill="FFFFFF" w:val="clear"/>
            <w:tcMar>
              <w:top w:type="dxa" w:w="90"/>
              <w:left w:type="dxa" w:w="80"/>
              <w:bottom w:type="dxa" w:w="90"/>
              <w:right w:type="dxa" w:w="80"/>
            </w:tcMar>
            <w:vAlign w:val="top"/>
          </w:tcPr>
          <w:p>
            <w:pPr>
              <w:jc w:val="left"/>
            </w:pPr>
            <w:r>
              <w:rPr>
                <w:b w:val="false"/>
                <w:bCs w:val="false"/>
                <w:color w:val="000000"/>
                <w:sz w:val="18"/>
                <w:szCs w:val="18"/>
              </w:rPr>
              <w:t xml:space="preserve">6.2 Auth</w:t>
            </w:r>
          </w:p>
        </w:tc>
        <w:tc>
          <w:tcPr>
            <w:tcW w:type="dxa" w:w="1750"/>
            <w:shd w:fill="FFFFFF" w:val="clear"/>
            <w:tcMar>
              <w:top w:type="dxa" w:w="90"/>
              <w:left w:type="dxa" w:w="80"/>
              <w:bottom w:type="dxa" w:w="90"/>
              <w:right w:type="dxa" w:w="80"/>
            </w:tcMar>
            <w:vAlign w:val="top"/>
          </w:tcPr>
          <w:p>
            <w:pPr>
              <w:jc w:val="left"/>
            </w:pPr>
            <w:r>
              <w:rPr>
                <w:b w:val="false"/>
                <w:bCs w:val="false"/>
                <w:color w:val="000000"/>
                <w:sz w:val="18"/>
                <w:szCs w:val="18"/>
              </w:rPr>
              <w:t xml:space="preserve">Requirement conflicts with another requirement</w:t>
            </w:r>
          </w:p>
        </w:tc>
        <w:tc>
          <w:tcPr>
            <w:tcW w:type="dxa" w:w="3900"/>
            <w:shd w:fill="FFFFFF" w:val="clear"/>
            <w:tcMar>
              <w:top w:type="dxa" w:w="90"/>
              <w:left w:type="dxa" w:w="80"/>
              <w:bottom w:type="dxa" w:w="90"/>
              <w:right w:type="dxa" w:w="80"/>
            </w:tcMar>
            <w:vAlign w:val="top"/>
          </w:tcPr>
          <w:p>
            <w:pPr>
              <w:jc w:val="left"/>
            </w:pPr>
            <w:r>
              <w:rPr>
                <w:b w:val="false"/>
                <w:bCs w:val="false"/>
                <w:color w:val="000000"/>
                <w:sz w:val="18"/>
                <w:szCs w:val="18"/>
              </w:rPr>
              <w:t xml:space="preserve">Mandates a “device fingerprint or an approved privacy-preserving device identifier” as interchangeable options. True device fingerprinting has materially different privacy properties than a privacy-preserving identifier and may conflict with NFR-PRV-002's data-minimization requirement.</w:t>
            </w:r>
          </w:p>
        </w:tc>
        <w:tc>
          <w:tcPr>
            <w:tcW w:type="dxa" w:w="4800"/>
            <w:shd w:fill="FFFFFF" w:val="clear"/>
            <w:tcMar>
              <w:top w:type="dxa" w:w="90"/>
              <w:left w:type="dxa" w:w="80"/>
              <w:bottom w:type="dxa" w:w="90"/>
              <w:right w:type="dxa" w:w="80"/>
            </w:tcMar>
            <w:vAlign w:val="top"/>
          </w:tcPr>
          <w:p>
            <w:pPr>
              <w:jc w:val="left"/>
            </w:pPr>
            <w:r>
              <w:rPr>
                <w:b w:val="false"/>
                <w:bCs w:val="false"/>
                <w:color w:val="000000"/>
                <w:sz w:val="18"/>
                <w:szCs w:val="18"/>
              </w:rPr>
              <w:t xml:space="preserve">Resolve which mechanism is actually intended as a single product/legal decision, then state it as one specific technique — not an “or” that lets an implementer satisfy the letter of this requirement while violating the spirit of NFR-PRV-002.</w:t>
            </w:r>
          </w:p>
        </w:tc>
      </w:tr>
      <w:tr>
        <w:tc>
          <w:tcPr>
            <w:tcW w:type="dxa" w:w="900"/>
            <w:shd w:fill="F2F2F2" w:val="clear"/>
            <w:tcMar>
              <w:top w:type="dxa" w:w="90"/>
              <w:left w:type="dxa" w:w="80"/>
              <w:bottom w:type="dxa" w:w="90"/>
              <w:right w:type="dxa" w:w="80"/>
            </w:tcMar>
            <w:vAlign w:val="top"/>
          </w:tcPr>
          <w:p>
            <w:pPr>
              <w:jc w:val="left"/>
            </w:pPr>
            <w:r>
              <w:rPr>
                <w:b w:val="false"/>
                <w:bCs w:val="false"/>
                <w:color w:val="000000"/>
                <w:sz w:val="18"/>
                <w:szCs w:val="18"/>
              </w:rPr>
              <w:t xml:space="preserve">NFR-PER-004 / 005 / 006</w:t>
            </w:r>
          </w:p>
        </w:tc>
        <w:tc>
          <w:tcPr>
            <w:tcW w:type="dxa" w:w="1450"/>
            <w:shd w:fill="F2F2F2" w:val="clear"/>
            <w:tcMar>
              <w:top w:type="dxa" w:w="90"/>
              <w:left w:type="dxa" w:w="80"/>
              <w:bottom w:type="dxa" w:w="90"/>
              <w:right w:type="dxa" w:w="80"/>
            </w:tcMar>
            <w:vAlign w:val="top"/>
          </w:tcPr>
          <w:p>
            <w:pPr>
              <w:jc w:val="left"/>
            </w:pPr>
            <w:r>
              <w:rPr>
                <w:b w:val="false"/>
                <w:bCs w:val="false"/>
                <w:color w:val="000000"/>
                <w:sz w:val="18"/>
                <w:szCs w:val="18"/>
              </w:rPr>
              <w:t xml:space="preserve">7.3 Performance</w:t>
            </w:r>
          </w:p>
        </w:tc>
        <w:tc>
          <w:tcPr>
            <w:tcW w:type="dxa" w:w="1750"/>
            <w:shd w:fill="F2F2F2" w:val="clear"/>
            <w:tcMar>
              <w:top w:type="dxa" w:w="90"/>
              <w:left w:type="dxa" w:w="80"/>
              <w:bottom w:type="dxa" w:w="90"/>
              <w:right w:type="dxa" w:w="80"/>
            </w:tcMar>
            <w:vAlign w:val="top"/>
          </w:tcPr>
          <w:p>
            <w:pPr>
              <w:jc w:val="left"/>
            </w:pPr>
            <w:r>
              <w:rPr>
                <w:b w:val="false"/>
                <w:bCs w:val="false"/>
                <w:color w:val="000000"/>
                <w:sz w:val="18"/>
                <w:szCs w:val="18"/>
              </w:rPr>
              <w:t xml:space="preserve">Ambiguous measurement basis</w:t>
            </w:r>
          </w:p>
        </w:tc>
        <w:tc>
          <w:tcPr>
            <w:tcW w:type="dxa" w:w="3900"/>
            <w:shd w:fill="F2F2F2" w:val="clear"/>
            <w:tcMar>
              <w:top w:type="dxa" w:w="90"/>
              <w:left w:type="dxa" w:w="80"/>
              <w:bottom w:type="dxa" w:w="90"/>
              <w:right w:type="dxa" w:w="80"/>
            </w:tcMar>
            <w:vAlign w:val="top"/>
          </w:tcPr>
          <w:p>
            <w:pPr>
              <w:jc w:val="left"/>
            </w:pPr>
            <w:r>
              <w:rPr>
                <w:b w:val="false"/>
                <w:bCs w:val="false"/>
                <w:color w:val="000000"/>
                <w:sz w:val="18"/>
                <w:szCs w:val="18"/>
              </w:rPr>
              <w:t xml:space="preserve">The section preamble sets a 75th-percentile convention for browser metrics and 95th for service response times, but individual requirements (e.g., “cached public API reads... 500ms”) don't state which bucket applies, whether it's measured client- or server-side, or under what load.</w:t>
            </w:r>
          </w:p>
        </w:tc>
        <w:tc>
          <w:tcPr>
            <w:tcW w:type="dxa" w:w="4800"/>
            <w:shd w:fill="F2F2F2" w:val="clear"/>
            <w:tcMar>
              <w:top w:type="dxa" w:w="90"/>
              <w:left w:type="dxa" w:w="80"/>
              <w:bottom w:type="dxa" w:w="90"/>
              <w:right w:type="dxa" w:w="80"/>
            </w:tcMar>
            <w:vAlign w:val="top"/>
          </w:tcPr>
          <w:p>
            <w:pPr>
              <w:jc w:val="left"/>
            </w:pPr>
            <w:r>
              <w:rPr>
                <w:b w:val="false"/>
                <w:bCs w:val="false"/>
                <w:color w:val="000000"/>
                <w:sz w:val="18"/>
                <w:szCs w:val="18"/>
              </w:rPr>
              <w:t xml:space="preserve">Add the percentile and measurement point directly to each numeric requirement, e.g., “...within 500ms at p95, measured server-side under normal load,” rather than relying on a preamble three pages away.</w:t>
            </w:r>
          </w:p>
        </w:tc>
      </w:tr>
      <w:tr>
        <w:tc>
          <w:tcPr>
            <w:tcW w:type="dxa" w:w="900"/>
            <w:shd w:fill="FFFFFF" w:val="clear"/>
            <w:tcMar>
              <w:top w:type="dxa" w:w="90"/>
              <w:left w:type="dxa" w:w="80"/>
              <w:bottom w:type="dxa" w:w="90"/>
              <w:right w:type="dxa" w:w="80"/>
            </w:tcMar>
            <w:vAlign w:val="top"/>
          </w:tcPr>
          <w:p>
            <w:pPr>
              <w:jc w:val="left"/>
            </w:pPr>
            <w:r>
              <w:rPr>
                <w:b w:val="false"/>
                <w:bCs w:val="false"/>
                <w:color w:val="000000"/>
                <w:sz w:val="18"/>
                <w:szCs w:val="18"/>
              </w:rPr>
              <w:t xml:space="preserve">BR-010 / FR-PAY-005 / FR-DSP-006</w:t>
            </w:r>
          </w:p>
        </w:tc>
        <w:tc>
          <w:tcPr>
            <w:tcW w:type="dxa" w:w="1450"/>
            <w:shd w:fill="FFFFFF" w:val="clear"/>
            <w:tcMar>
              <w:top w:type="dxa" w:w="90"/>
              <w:left w:type="dxa" w:w="80"/>
              <w:bottom w:type="dxa" w:w="90"/>
              <w:right w:type="dxa" w:w="80"/>
            </w:tcMar>
            <w:vAlign w:val="top"/>
          </w:tcPr>
          <w:p>
            <w:pPr>
              <w:jc w:val="left"/>
            </w:pPr>
            <w:r>
              <w:rPr>
                <w:b w:val="false"/>
                <w:bCs w:val="false"/>
                <w:color w:val="000000"/>
                <w:sz w:val="18"/>
                <w:szCs w:val="18"/>
              </w:rPr>
              <w:t xml:space="preserve">§9 / 6.9 / 6.16</w:t>
            </w:r>
          </w:p>
        </w:tc>
        <w:tc>
          <w:tcPr>
            <w:tcW w:type="dxa" w:w="1750"/>
            <w:shd w:fill="FFFFFF" w:val="clear"/>
            <w:tcMar>
              <w:top w:type="dxa" w:w="90"/>
              <w:left w:type="dxa" w:w="80"/>
              <w:bottom w:type="dxa" w:w="90"/>
              <w:right w:type="dxa" w:w="80"/>
            </w:tcMar>
            <w:vAlign w:val="top"/>
          </w:tcPr>
          <w:p>
            <w:pPr>
              <w:jc w:val="left"/>
            </w:pPr>
            <w:r>
              <w:rPr>
                <w:b w:val="false"/>
                <w:bCs w:val="false"/>
                <w:color w:val="000000"/>
                <w:sz w:val="18"/>
                <w:szCs w:val="18"/>
              </w:rPr>
              <w:t xml:space="preserve">Redundant source of truth</w:t>
            </w:r>
          </w:p>
        </w:tc>
        <w:tc>
          <w:tcPr>
            <w:tcW w:type="dxa" w:w="3900"/>
            <w:shd w:fill="FFFFFF" w:val="clear"/>
            <w:tcMar>
              <w:top w:type="dxa" w:w="90"/>
              <w:left w:type="dxa" w:w="80"/>
              <w:bottom w:type="dxa" w:w="90"/>
              <w:right w:type="dxa" w:w="80"/>
            </w:tcMar>
            <w:vAlign w:val="top"/>
          </w:tcPr>
          <w:p>
            <w:pPr>
              <w:jc w:val="left"/>
            </w:pPr>
            <w:r>
              <w:rPr>
                <w:b w:val="false"/>
                <w:bCs w:val="false"/>
                <w:color w:val="000000"/>
                <w:sz w:val="18"/>
                <w:szCs w:val="18"/>
              </w:rPr>
              <w:t xml:space="preserve">The same escrow-release/dispute-freeze rule is stated three times in different wording across a business rule and two functional requirements.</w:t>
            </w:r>
          </w:p>
        </w:tc>
        <w:tc>
          <w:tcPr>
            <w:tcW w:type="dxa" w:w="4800"/>
            <w:shd w:fill="FFFFFF" w:val="clear"/>
            <w:tcMar>
              <w:top w:type="dxa" w:w="90"/>
              <w:left w:type="dxa" w:w="80"/>
              <w:bottom w:type="dxa" w:w="90"/>
              <w:right w:type="dxa" w:w="80"/>
            </w:tcMar>
            <w:vAlign w:val="top"/>
          </w:tcPr>
          <w:p>
            <w:pPr>
              <w:jc w:val="left"/>
            </w:pPr>
            <w:r>
              <w:rPr>
                <w:b w:val="false"/>
                <w:bCs w:val="false"/>
                <w:color w:val="000000"/>
                <w:sz w:val="18"/>
                <w:szCs w:val="18"/>
              </w:rPr>
              <w:t xml:space="preserve">State the rule once in §9 (Business rules) as the canonical source; have FR-PAY-005 and FR-DSP-006 reference “per BR-010” instead of restating the condition, so a future policy change only needs one edit.</w:t>
            </w:r>
          </w:p>
        </w:tc>
      </w:tr>
      <w:tr>
        <w:tc>
          <w:tcPr>
            <w:tcW w:type="dxa" w:w="900"/>
            <w:shd w:fill="F2F2F2" w:val="clear"/>
            <w:tcMar>
              <w:top w:type="dxa" w:w="90"/>
              <w:left w:type="dxa" w:w="80"/>
              <w:bottom w:type="dxa" w:w="90"/>
              <w:right w:type="dxa" w:w="80"/>
            </w:tcMar>
            <w:vAlign w:val="top"/>
          </w:tcPr>
          <w:p>
            <w:pPr>
              <w:jc w:val="left"/>
            </w:pPr>
            <w:r>
              <w:rPr>
                <w:b w:val="false"/>
                <w:bCs w:val="false"/>
                <w:color w:val="000000"/>
                <w:sz w:val="18"/>
                <w:szCs w:val="18"/>
              </w:rPr>
              <w:t xml:space="preserve">FR-TRX-005 / 006 / 011 / 012</w:t>
            </w:r>
          </w:p>
        </w:tc>
        <w:tc>
          <w:tcPr>
            <w:tcW w:type="dxa" w:w="1450"/>
            <w:shd w:fill="F2F2F2" w:val="clear"/>
            <w:tcMar>
              <w:top w:type="dxa" w:w="90"/>
              <w:left w:type="dxa" w:w="80"/>
              <w:bottom w:type="dxa" w:w="90"/>
              <w:right w:type="dxa" w:w="80"/>
            </w:tcMar>
            <w:vAlign w:val="top"/>
          </w:tcPr>
          <w:p>
            <w:pPr>
              <w:jc w:val="left"/>
            </w:pPr>
            <w:r>
              <w:rPr>
                <w:b w:val="false"/>
                <w:bCs w:val="false"/>
                <w:color w:val="000000"/>
                <w:sz w:val="18"/>
                <w:szCs w:val="18"/>
              </w:rPr>
              <w:t xml:space="preserve">6.8 Bookings/Offers</w:t>
            </w:r>
          </w:p>
        </w:tc>
        <w:tc>
          <w:tcPr>
            <w:tcW w:type="dxa" w:w="1750"/>
            <w:shd w:fill="F2F2F2" w:val="clear"/>
            <w:tcMar>
              <w:top w:type="dxa" w:w="90"/>
              <w:left w:type="dxa" w:w="80"/>
              <w:bottom w:type="dxa" w:w="90"/>
              <w:right w:type="dxa" w:w="80"/>
            </w:tcMar>
            <w:vAlign w:val="top"/>
          </w:tcPr>
          <w:p>
            <w:pPr>
              <w:jc w:val="left"/>
            </w:pPr>
            <w:r>
              <w:rPr>
                <w:b w:val="false"/>
                <w:bCs w:val="false"/>
                <w:color w:val="000000"/>
                <w:sz w:val="18"/>
                <w:szCs w:val="18"/>
              </w:rPr>
              <w:t xml:space="preserve">Must priority undermined by availability hedge</w:t>
            </w:r>
          </w:p>
        </w:tc>
        <w:tc>
          <w:tcPr>
            <w:tcW w:type="dxa" w:w="3900"/>
            <w:shd w:fill="F2F2F2" w:val="clear"/>
            <w:tcMar>
              <w:top w:type="dxa" w:w="90"/>
              <w:left w:type="dxa" w:w="80"/>
              <w:bottom w:type="dxa" w:w="90"/>
              <w:right w:type="dxa" w:w="80"/>
            </w:tcMar>
            <w:vAlign w:val="top"/>
          </w:tcPr>
          <w:p>
            <w:pPr>
              <w:jc w:val="left"/>
            </w:pPr>
            <w:r>
              <w:rPr>
                <w:b w:val="false"/>
                <w:bCs w:val="false"/>
                <w:color w:val="000000"/>
                <w:sz w:val="18"/>
                <w:szCs w:val="18"/>
              </w:rPr>
              <w:t xml:space="preserve">Each requires viewing/acting on bookings or offers “when a retrieval API is available” / “when the required API is available”, at Must priority with a TBD basis — the hedge means the requirement is automatically satisfied by the API simply not existing.</w:t>
            </w:r>
          </w:p>
        </w:tc>
        <w:tc>
          <w:tcPr>
            <w:tcW w:type="dxa" w:w="4800"/>
            <w:shd w:fill="F2F2F2" w:val="clear"/>
            <w:tcMar>
              <w:top w:type="dxa" w:w="90"/>
              <w:left w:type="dxa" w:w="80"/>
              <w:bottom w:type="dxa" w:w="90"/>
              <w:right w:type="dxa" w:w="80"/>
            </w:tcMar>
            <w:vAlign w:val="top"/>
          </w:tcPr>
          <w:p>
            <w:pPr>
              <w:jc w:val="left"/>
            </w:pPr>
            <w:r>
              <w:rPr>
                <w:b w:val="false"/>
                <w:bCs w:val="false"/>
                <w:color w:val="000000"/>
                <w:sz w:val="18"/>
                <w:szCs w:val="18"/>
              </w:rPr>
              <w:t xml:space="preserve">Mark these as Must for the user-facing behavior once the API exists, and separately track “confirm booking/offer retrieval API” as its own TBD item (it already appears as OD-004) — don't let the hedge live inside the Must requirement itself.</w:t>
            </w:r>
          </w:p>
        </w:tc>
      </w:tr>
    </w:tbl>
    <w:p>
      <w:pPr>
        <w:spacing w:after="120" w:before="300"/>
      </w:pPr>
      <w:r>
        <w:rPr>
          <w:b/>
          <w:bCs/>
          <w:color w:val="1B2A4A"/>
          <w:sz w:val="22"/>
          <w:szCs w:val="22"/>
        </w:rPr>
        <w:t xml:space="preserve">Summary of recurring anti-patterns</w:t>
      </w:r>
    </w:p>
    <w:p>
      <w:pPr>
        <w:pStyle w:val="ListParagraph"/>
        <w:numPr>
          <w:ilvl w:val="0"/>
          <w:numId w:val="1"/>
        </w:numPr>
        <w:spacing w:after="60"/>
      </w:pPr>
      <w:r>
        <w:rPr>
          <w:sz w:val="20"/>
          <w:szCs w:val="20"/>
        </w:rPr>
        <w:t xml:space="preserve">Undefined-term dependency — “approved X policy” used as a success criterion with no glossary or policy definition anywhere in the document.</w:t>
      </w:r>
    </w:p>
    <w:p>
      <w:pPr>
        <w:pStyle w:val="ListParagraph"/>
        <w:numPr>
          <w:ilvl w:val="0"/>
          <w:numId w:val="1"/>
        </w:numPr>
        <w:spacing w:after="60"/>
      </w:pPr>
      <w:r>
        <w:rPr>
          <w:sz w:val="20"/>
          <w:szCs w:val="20"/>
        </w:rPr>
        <w:t xml:space="preserve">Must priority contradicted by a TBD/Proposed basis — a requirement marked mandatory for release while its own acceptance condition is still an open decision.</w:t>
      </w:r>
    </w:p>
    <w:p>
      <w:pPr>
        <w:pStyle w:val="ListParagraph"/>
        <w:numPr>
          <w:ilvl w:val="0"/>
          <w:numId w:val="1"/>
        </w:numPr>
        <w:spacing w:after="60"/>
      </w:pPr>
      <w:r>
        <w:rPr>
          <w:sz w:val="20"/>
          <w:szCs w:val="20"/>
        </w:rPr>
        <w:t xml:space="preserve">Compound / non-atomic requirements — multiple independently-testable facts bundled into one ID, breaking traceability between test cases and requirements.</w:t>
      </w:r>
    </w:p>
    <w:p>
      <w:pPr>
        <w:pStyle w:val="ListParagraph"/>
        <w:numPr>
          <w:ilvl w:val="0"/>
          <w:numId w:val="1"/>
        </w:numPr>
        <w:spacing w:after="60"/>
      </w:pPr>
      <w:r>
        <w:rPr>
          <w:sz w:val="20"/>
          <w:szCs w:val="20"/>
        </w:rPr>
        <w:t xml:space="preserve">Subjective, unfalsifiable language — words like “useful,” “clearly,” “consistent,” and “context-appropriate” with no observable pass/fail condition.</w:t>
      </w:r>
    </w:p>
    <w:p>
      <w:pPr>
        <w:pStyle w:val="ListParagraph"/>
        <w:numPr>
          <w:ilvl w:val="0"/>
          <w:numId w:val="1"/>
        </w:numPr>
        <w:spacing w:after="60"/>
      </w:pPr>
      <w:r>
        <w:rPr>
          <w:sz w:val="20"/>
          <w:szCs w:val="20"/>
        </w:rPr>
        <w:t xml:space="preserve">Weak negative requirements — “shall avoid” instead of “shall not” for Must-priority constraints, especially around privacy.</w:t>
      </w:r>
    </w:p>
    <w:p>
      <w:pPr>
        <w:pStyle w:val="ListParagraph"/>
        <w:numPr>
          <w:ilvl w:val="0"/>
          <w:numId w:val="1"/>
        </w:numPr>
        <w:spacing w:after="60"/>
      </w:pPr>
      <w:r>
        <w:rPr>
          <w:sz w:val="20"/>
          <w:szCs w:val="20"/>
        </w:rPr>
        <w:t xml:space="preserve">Requirement conflicts — two Must requirements that can each be satisfied individually while violating the other's intent.</w:t>
      </w:r>
    </w:p>
    <w:p>
      <w:pPr>
        <w:pStyle w:val="ListParagraph"/>
        <w:numPr>
          <w:ilvl w:val="0"/>
          <w:numId w:val="1"/>
        </w:numPr>
        <w:spacing w:after="60"/>
      </w:pPr>
      <w:r>
        <w:rPr>
          <w:sz w:val="20"/>
          <w:szCs w:val="20"/>
        </w:rPr>
        <w:t xml:space="preserve">Ambiguous measurement basis — numeric NFRs that don't restate which percentile, measurement point, or load condition applies.</w:t>
      </w:r>
    </w:p>
    <w:p>
      <w:pPr>
        <w:pStyle w:val="ListParagraph"/>
        <w:numPr>
          <w:ilvl w:val="0"/>
          <w:numId w:val="1"/>
        </w:numPr>
        <w:spacing w:after="60"/>
      </w:pPr>
      <w:r>
        <w:rPr>
          <w:sz w:val="20"/>
          <w:szCs w:val="20"/>
        </w:rPr>
        <w:t xml:space="preserve">Redundant sources of truth — the same business rule restated in slightly different wording in multiple places, risking drift.</w:t>
      </w:r>
    </w:p>
    <w:sectPr>
      <w:pgSz w:w="15840" w:h="12240" w:orient="landscape"/>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2026-08-30T22:18:16.863Z</dcterms:created>
  <dcterms:modified xsi:type="dcterms:W3CDTF">2026-08-30T22:18:16.863Z</dcterms:modified>
</cp:coreProperties>
</file>

<file path=docProps/custom.xml><?xml version="1.0" encoding="utf-8"?>
<Properties xmlns="http://schemas.openxmlformats.org/officeDocument/2006/custom-properties" xmlns:vt="http://schemas.openxmlformats.org/officeDocument/2006/docPropsVTypes"/>
</file>