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87A8B"/>
          <w:sz w:val="16"/>
        </w:rPr>
        <w:t>임원 보고  |  2026년 10월 2일  |  모델 기반 설계 검토</w:t>
      </w:r>
    </w:p>
    <w:p>
      <w:pPr>
        <w:pStyle w:val="Title"/>
      </w:pPr>
      <w:r>
        <w:t>NAND 프리페치 조회 병렬성 검토</w:t>
      </w:r>
    </w:p>
    <w:p>
      <w:r>
        <w:rPr>
          <w:b/>
          <w:sz w:val="22"/>
        </w:rPr>
        <w:t>조회 처리능력이 병목이면 요청 수 확대만으로 성능은 개선되지 않습니다.</w:t>
      </w:r>
    </w:p>
    <w:p>
      <w:r>
        <w:t>프리페치 데이터가 준비돼 있어도, 사용 가능 여부를 확인하는 조회가 지연되면 전송 대역폭을 활용하지 못합니다. 설계 우선순위는 동시 요청 수 확대보다 조회 처리능력과 요청 수의 균형 확보입니다.</w:t>
      </w:r>
    </w:p>
    <w:p>
      <w:pPr>
        <w:pStyle w:val="Heading1"/>
      </w:pPr>
      <w:r>
        <w:t>주요 결과</w:t>
      </w:r>
    </w:p>
    <w:p>
      <w:r>
        <w:t>Outstanding 500개 · 조회 지연 500ns · 사전 준비 데이터 조건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40"/>
        <w:gridCol w:w="3440"/>
        <w:gridCol w:w="3440"/>
      </w:tblGrid>
      <w:tr>
        <w:trPr>
          <w:cantSplit/>
        </w:trPr>
        <w:tc>
          <w:tcPr>
            <w:tcW w:type="dxa" w:w="3024"/>
            <w:shd w:fill="173750"/>
          </w:tcPr>
          <w:p>
            <w:pPr>
              <w:spacing w:after="60" w:before="60"/>
              <w:jc w:val="center"/>
            </w:pPr>
            <w:r>
              <w:rPr>
                <w:b/>
                <w:color w:val="FFFFFF"/>
                <w:sz w:val="18"/>
              </w:rPr>
              <w:t>동시 조회 슬롯</w:t>
            </w:r>
          </w:p>
        </w:tc>
        <w:tc>
          <w:tcPr>
            <w:tcW w:type="dxa" w:w="3024"/>
            <w:shd w:fill="173750"/>
          </w:tcPr>
          <w:p>
            <w:pPr>
              <w:spacing w:after="60" w:before="60"/>
              <w:jc w:val="center"/>
            </w:pPr>
            <w:r>
              <w:rPr>
                <w:b/>
                <w:color w:val="FFFFFF"/>
                <w:sz w:val="18"/>
              </w:rPr>
              <w:t>처리량 GB/s</w:t>
            </w:r>
          </w:p>
        </w:tc>
        <w:tc>
          <w:tcPr>
            <w:tcW w:type="dxa" w:w="4032"/>
            <w:shd w:fill="173750"/>
          </w:tcPr>
          <w:p>
            <w:pPr>
              <w:spacing w:after="60" w:before="60"/>
              <w:jc w:val="center"/>
            </w:pPr>
            <w:r>
              <w:rPr>
                <w:b/>
                <w:color w:val="FFFFFF"/>
                <w:sz w:val="18"/>
              </w:rPr>
              <w:t>평균 조회 대기 µs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0.51</w:t>
            </w:r>
          </w:p>
        </w:tc>
        <w:tc>
          <w:tcPr>
            <w:tcW w:type="dxa" w:w="4032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61.52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type="dxa" w:w="3024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8.19</w:t>
            </w:r>
          </w:p>
        </w:tc>
        <w:tc>
          <w:tcPr>
            <w:tcW w:type="dxa" w:w="4032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3.34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type="dxa" w:w="3024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16.35</w:t>
            </w:r>
          </w:p>
        </w:tc>
        <w:tc>
          <w:tcPr>
            <w:tcW w:type="dxa" w:w="4032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1.37</w:t>
            </w:r>
          </w:p>
        </w:tc>
      </w:tr>
      <w:tr>
        <w:trPr>
          <w:cantSplit/>
        </w:trPr>
        <w:tc>
          <w:tcPr>
            <w:tcW w:type="dxa" w:w="3024"/>
            <w:shd w:fill="EDF6F4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250</w:t>
            </w:r>
          </w:p>
        </w:tc>
        <w:tc>
          <w:tcPr>
            <w:tcW w:type="dxa" w:w="3024"/>
            <w:shd w:fill="EDF6F4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31.76</w:t>
            </w:r>
          </w:p>
        </w:tc>
        <w:tc>
          <w:tcPr>
            <w:tcW w:type="dxa" w:w="4032"/>
            <w:shd w:fill="EDF6F4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0.37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무제한</w:t>
            </w:r>
          </w:p>
        </w:tc>
        <w:tc>
          <w:tcPr>
            <w:tcW w:type="dxa" w:w="3024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31.76</w:t>
            </w:r>
          </w:p>
        </w:tc>
        <w:tc>
          <w:tcPr>
            <w:tcW w:type="dxa" w:w="4032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0.00</w:t>
            </w:r>
          </w:p>
        </w:tc>
      </w:tr>
    </w:tbl>
    <w:p>
      <w:r>
        <w:rPr>
          <w:sz w:val="16"/>
        </w:rPr>
        <w:t>조회 슬롯은 동시에 진행 중인 판정 수이며, outstanding은 수락 후 반환이 끝나지 않은 요청 수입니다. 조회는 500ns 동안 슬롯을 점유하고, 초과 요청은 순서대로 대기합니다.</w:t>
      </w:r>
    </w:p>
    <w:p>
      <w:r>
        <w:rPr>
          <w:b/>
        </w:rPr>
        <w:t>조회 슬롯 64개에서 outstanding을 100개에서 500개로 늘려도 처리량은 8.19GB/s로 동일합니다. 평균 조회 대기는 0.25µs에서 3.34µs로 늘어납니다. 과도한 요청 확대는 처리량 개선 없이 응답 대기를 키울 수 있습니다.</w:t>
      </w:r>
    </w:p>
    <w:p>
      <w:pPr>
        <w:pStyle w:val="Heading1"/>
      </w:pPr>
      <w:r>
        <w:t>설계 의사결정 제안</w:t>
      </w:r>
    </w:p>
    <w:p>
      <w:r>
        <w:rPr>
          <w:b/>
        </w:rPr>
        <w:t xml:space="preserve">우선 검증 대상  </w:t>
      </w:r>
      <w:r>
        <w:t>실제 조회 구조의 새 요청 수락 간격과 동시 처리 용량을 측정하고, 이를 기준으로 outstanding을 정합니다.</w:t>
      </w:r>
    </w:p>
    <w:p>
      <w:r>
        <w:rPr>
          <w:b/>
        </w:rPr>
        <w:t xml:space="preserve">32GB/s 목표의 조건  </w:t>
      </w:r>
      <w:r>
        <w:t>조회 500ns가 유지될 때, 준비된 데이터의 연속 전송에는 조회 슬롯 250개 이상과 outstanding 251개 이상이 함께 필요합니다. 슬롯 수는 물리 메모리 포트 수가 아닙니다.</w:t>
      </w:r>
    </w:p>
    <w:p>
      <w:r>
        <w:rPr>
          <w:b/>
        </w:rPr>
        <w:t xml:space="preserve">설계 확정 전 확인  </w:t>
      </w:r>
      <w:r>
        <w:t>파이프라인·메모리 충돌·실제 hit 비율과 랜덤 접근을 반영해 재검증합니다. 현재 결과만으로 제품 성능이나 회로 면적·전력 비용을 확정할 수 없습니다.</w:t>
      </w:r>
    </w:p>
    <w:p>
      <w:pPr>
        <w:pStyle w:val="Heading1"/>
      </w:pPr>
      <w:r>
        <w:t>판단 범위와 근거</w:t>
      </w:r>
    </w:p>
    <w:p>
      <w:r>
        <w:rPr>
          <w:sz w:val="16"/>
        </w:rPr>
        <w:t>조건: tR 2.08µs, 64B AXI 읽기, 256bit·1GHz, 4칩·4채널. 64KiB 요청을 64B로 나누며 NAND page는 16KiB입니다. 표는 데이터가 모두 사전 준비된 경우로, 준비에 사용한 NAND 시간은 처리량 계산에서 제외합니다. 31.76GB/s는 초기 조회 대기를 포함한 값이며 이후 연속 전송은 32GB/s입니다.</w:t>
      </w:r>
    </w:p>
    <w:p>
      <w:r>
        <w:rPr>
          <w:sz w:val="16"/>
        </w:rPr>
        <w:t>검증: 260개 시뮬레이션 조건, 테스트 26개 통과, 기존 32개 조건과 회귀 일치. 실제 제품 실측은 수행하지 않았습니다.</w:t>
      </w:r>
    </w:p>
    <w:p>
      <w:r>
        <w:t xml:space="preserve">출처  </w:t>
      </w:r>
      <w:hyperlink r:id="rId9">
        <w:r>
          <w:t>NAND Prefetch Model 시뮬레이션 결과와 상세 가정</w:t>
        </w:r>
      </w:hyperlink>
    </w:p>
    <w:sectPr w:rsidR="00FC693F" w:rsidRPr="0006063C" w:rsidSect="00034616">
      <w:pgSz w:w="11905" w:h="16838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375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75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JBRARAPARK/NAND_Prefetch_Model/blob/55e06c353480aa11da70156dad4324700f773bb0/results/lookup_slots_64b/RESULTS_KO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NAND 프리페치 조회 병렬성 검토</dc:title>
  <dc:subject>조회 병렬성 제한에 따른 성능과 설계 의사결정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