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16"/>
        </w:rPr>
        <w:t>임원 보고  |  2026년 10월 3일  |  모델 기반 설계 검토</w:t>
      </w:r>
    </w:p>
    <w:p>
      <w:pPr>
        <w:pStyle w:val="Title"/>
      </w:pPr>
      <w:r>
        <w:t>NAND 프리페치 조회 클럭·에너지 검토</w:t>
      </w:r>
    </w:p>
    <w:p>
      <w:r>
        <w:rPr>
          <w:b/>
          <w:sz w:val="22"/>
        </w:rPr>
        <w:t>조회 용량 확보가 성능을 지키고, 전압 저감이 에너지 절감 폭을 키웁니다.</w:t>
      </w:r>
    </w:p>
    <w:p>
      <w:r>
        <w:rPr>
          <w:b w:val="0"/>
        </w:rPr>
        <w:t>1GHz·조회 0ns와 500MHz·조회 500ns를 동일 병렬성으로 비교했습니다. 저클럭의 이점은 조회 처리능력과 클럭 유휴 제어에 따라 달라집니다. 판단 기준은 평균 파워와 동일 작업량의 총 에너지를 함께 보는 것입니다.</w:t>
      </w:r>
    </w:p>
    <w:p>
      <w:pPr>
        <w:pStyle w:val="Heading1"/>
      </w:pPr>
      <w:r>
        <w:t>핵심 비교 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>
          <w:cantSplit/>
        </w:trPr>
        <w:tc>
          <w:tcPr>
            <w:tcW w:type="dxa" w:w="3456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500MHz 설계 조건</w:t>
            </w:r>
          </w:p>
        </w:tc>
        <w:tc>
          <w:tcPr>
            <w:tcW w:type="dxa" w:w="1872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처리량</w:t>
              <w:br/>
              <w:t>GB/s</w:t>
            </w:r>
          </w:p>
        </w:tc>
        <w:tc>
          <w:tcPr>
            <w:tcW w:type="dxa" w:w="2160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평균 파워비</w:t>
            </w:r>
          </w:p>
        </w:tc>
        <w:tc>
          <w:tcPr>
            <w:tcW w:type="dxa" w:w="2160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총 에너지비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슬롯 64개 · 1V</w:t>
            </w:r>
          </w:p>
        </w:tc>
        <w:tc>
          <w:tcPr>
            <w:tcW w:type="dxa" w:w="187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8.19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35.1%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137.3%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슬롯 250개 · 1V</w:t>
            </w:r>
          </w:p>
        </w:tc>
        <w:tc>
          <w:tcPr>
            <w:tcW w:type="dxa" w:w="187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31.76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99.4%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100.1%</w:t>
            </w:r>
          </w:p>
        </w:tc>
      </w:tr>
      <w:tr>
        <w:trPr>
          <w:cantSplit/>
        </w:trPr>
        <w:tc>
          <w:tcPr>
            <w:tcW w:type="dxa" w:w="3456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슬롯 250개 · 0.8V</w:t>
            </w:r>
          </w:p>
        </w:tc>
        <w:tc>
          <w:tcPr>
            <w:tcW w:type="dxa" w:w="1872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31.76</w:t>
            </w:r>
          </w:p>
        </w:tc>
        <w:tc>
          <w:tcPr>
            <w:tcW w:type="dxa" w:w="2160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73.2%</w:t>
            </w:r>
          </w:p>
        </w:tc>
        <w:tc>
          <w:tcPr>
            <w:tcW w:type="dxa" w:w="2160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73.7%</w:t>
            </w:r>
          </w:p>
        </w:tc>
      </w:tr>
    </w:tbl>
    <w:p>
      <w:r>
        <w:rPr>
          <w:b w:val="0"/>
          <w:sz w:val="16"/>
        </w:rPr>
        <w:t>비율 기준: 각 행과 같은 조회 슬롯 수의 1GHz·0ns·1V 설계 = 100%. 양쪽 모두 clock gating(유휴 시 클럭 차단) 적용. 1GHz 기준 처리량은 32.00GB/s입니다.</w:t>
      </w:r>
    </w:p>
    <w:p>
      <w:r>
        <w:rPr>
          <w:b w:val="0"/>
          <w:sz w:val="16"/>
        </w:rPr>
        <w:t>조회 슬롯은 동시에 판정 중인 요청의 수입니다. 파워는 단위시간당 소비, 에너지는 같은 데이터량의 처리에 든 총소비입니다. 에너지 = 평균 파워 × 실행시간.</w:t>
      </w:r>
    </w:p>
    <w:p>
      <w:r>
        <w:rPr>
          <w:b/>
        </w:rPr>
        <w:t>슬롯 64개에서는 평균 파워가 64.9% 낮아도 실행시간이 3.91배로 늘어, 총 에너지는 37.3% 증가합니다.</w:t>
      </w:r>
    </w:p>
    <w:p>
      <w:pPr>
        <w:pStyle w:val="Heading1"/>
      </w:pPr>
      <w:r>
        <w:t>설계 의사결정 제안</w:t>
      </w:r>
    </w:p>
    <w:p>
      <w:r>
        <w:rPr>
          <w:b/>
        </w:rPr>
        <w:t xml:space="preserve">성능 확보  </w:t>
      </w:r>
      <w:r>
        <w:t>32GB/s 목표라면 500ns 조회에서 슬롯 250개 이상, 미완료 요청 수(outstanding) 251개 이상을 함께 확보합니다. 파이프라인당 매 클럭 새 조회를 수락하는 조건입니다.</w:t>
      </w:r>
    </w:p>
    <w:p>
      <w:r>
        <w:rPr>
          <w:b/>
        </w:rPr>
        <w:t xml:space="preserve">절전 판단  </w:t>
      </w:r>
      <w:r>
        <w:t>슬롯 250개·동일 전압·gating에서는 성능과 에너지가 거의 같습니다. 0.8V에서도 500MHz가 가능하면 모델 에너지는 26.3% 감소합니다. 전압·주파수 가능 범위와 실제 에너지 계수를 측정해 판단합니다.</w:t>
      </w:r>
    </w:p>
    <w:p>
      <w:r>
        <w:rPr>
          <w:b/>
        </w:rPr>
        <w:t xml:space="preserve">구현 우선순위  </w:t>
      </w:r>
      <w:r>
        <w:t>조회 지연과 별도로 새 요청 수락 간격을 확인합니다. 단일 파이프라인이 2클럭마다 수락하면 500MHz 처리량 상한은 16GB/s로 낮아져, 슬롯 확대만으로는 부족합니다.</w:t>
      </w:r>
    </w:p>
    <w:p>
      <w:r>
        <w:rPr>
          <w:b w:val="0"/>
          <w:sz w:val="16"/>
        </w:rPr>
        <w:t>클럭 유휴 제어의 영향: 슬롯 250개·동일 전압에서 클럭을 항상 켜는 모델은 에너지가 9.6% 감소하지만, 양쪽에 gating을 적용하면 절감 이점이 거의 사라집니다.</w:t>
      </w:r>
    </w:p>
    <w:p>
      <w:pPr>
        <w:pStyle w:val="Heading1"/>
      </w:pPr>
      <w:r>
        <w:t>판단 범위와 근거</w:t>
      </w:r>
    </w:p>
    <w:p>
      <w:r>
        <w:rPr>
          <w:b w:val="0"/>
          <w:sz w:val="16"/>
        </w:rPr>
        <w:t>비교 범위: 데이터가 사전 준비된 ready hit, 64B burst, 32×64KiB 요청, AXI 256bit·1GHz 고정, outstanding 500, 독립 조회 파이프라인 1개·투입 간격 1클럭. 31.76GB/s는 초기 조회 지연을 포함한 평균입니다.</w:t>
      </w:r>
    </w:p>
    <w:p>
      <w:r>
        <w:rPr>
          <w:b w:val="0"/>
          <w:sz w:val="16"/>
        </w:rPr>
        <w:t>파워·에너지는 예시 EU 계수의 상대 결과이며 제품 실측 W·J가 아닙니다. 0ns는 판정 지연을 생략한 이상적 기준입니다. 0.8V는 동작 가능성을 가정하며, 사전 prefetch 시간·에너지는 제외합니다.</w:t>
      </w:r>
    </w:p>
    <w:p>
      <w:r>
        <w:rPr>
          <w:b w:val="0"/>
          <w:sz w:val="16"/>
        </w:rPr>
        <w:t>검증: 테스트 35개 통과 · 성능 실행 216개 · 에너지 계산 648개 · 기존 32개 조건 회귀 일치.</w:t>
      </w:r>
    </w:p>
    <w:p>
      <w:r>
        <w:rPr>
          <w:b w:val="0"/>
          <w:sz w:val="16"/>
        </w:rPr>
        <w:t>근거: results/lookup_clock_power_64b/sweep.csv 및 manifest.json</w:t>
      </w:r>
    </w:p>
    <w:sectPr w:rsidR="00FC693F" w:rsidRPr="0006063C" w:rsidSect="00034616">
      <w:pgSz w:w="11905" w:h="16838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75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75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 프리페치 조회 클럭·에너지 검토</dc:title>
  <dc:subject>동일 조회 병렬성의 클럭·지연·파워·에너지 비교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