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484" w:rsidRDefault="008A1FB7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-23.85pt;margin-top:5.55pt;width:571.8pt;height:25.25pt;z-index:251689984" strokeweight="1.25pt">
            <v:textbox style="mso-next-textbox:#_x0000_s1061">
              <w:txbxContent>
                <w:p w:rsidR="00200484" w:rsidRDefault="00200484" w:rsidP="00200484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4" type="#_x0000_t202" style="position:absolute;margin-left:-23.85pt;margin-top:296.4pt;width:571.8pt;height:478.65pt;z-index:251703296" strokeweight="1.25pt">
            <v:textbox style="mso-next-textbox:#_x0000_s1074">
              <w:txbxContent>
                <w:p w:rsidR="00200484" w:rsidRDefault="00200484" w:rsidP="00200484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posibles desde los formularios</w:t>
                  </w:r>
                </w:p>
                <w:p w:rsidR="00957BE7" w:rsidRPr="006E1C68" w:rsidRDefault="00957BE7" w:rsidP="00200484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</w:p>
                <w:p w:rsidR="00200484" w:rsidRDefault="00200484" w:rsidP="00200484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E1C68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957BE7" w:rsidRPr="006E1C68" w:rsidRDefault="00957BE7" w:rsidP="00200484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</w:p>
                <w:p w:rsidR="00200484" w:rsidRDefault="00200484" w:rsidP="00200484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E1C68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   Datos de la transacción:</w:t>
                  </w:r>
                </w:p>
                <w:p w:rsidR="00957BE7" w:rsidRPr="006E1C68" w:rsidRDefault="00957BE7" w:rsidP="00200484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200484" w:rsidRDefault="00200484" w:rsidP="00200484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200484" w:rsidRPr="008311E8" w:rsidRDefault="00200484" w:rsidP="00200484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tbl>
                  <w:tblPr>
                    <w:tblStyle w:val="Tablaconcuadrcula"/>
                    <w:tblW w:w="22024" w:type="dxa"/>
                    <w:tblInd w:w="250" w:type="dxa"/>
                    <w:tblLook w:val="04A0"/>
                  </w:tblPr>
                  <w:tblGrid>
                    <w:gridCol w:w="3686"/>
                    <w:gridCol w:w="3488"/>
                    <w:gridCol w:w="3599"/>
                    <w:gridCol w:w="3825"/>
                    <w:gridCol w:w="3713"/>
                    <w:gridCol w:w="3713"/>
                  </w:tblGrid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CUENTA CORRIENTE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PROVEEDOR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962458" w:rsidRDefault="00200484" w:rsidP="004E308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962458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Control de proveedores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 PROVEEDOR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Control de proveedores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-BANCO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 w:rsidR="007A1F4E"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-DEBE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-HABER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-NUMERO DE CUENTA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="007A1F4E">
                          <w:rPr>
                            <w:rFonts w:ascii="Century" w:hAnsi="Century"/>
                            <w:sz w:val="18"/>
                            <w:szCs w:val="18"/>
                          </w:rPr>
                          <w:t>,M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-COD. FACTURA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PROVEEDOR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812DB9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 w:rsidRPr="00231D8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de proveedores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-IMPORTE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F.P.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 w:rsidRPr="00231D8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de proveedores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-COD. NOTA DE CREDITO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812DB9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231D8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Nota de crédito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-IMPORTE N.C.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6E1C68" w:rsidRDefault="00200484" w:rsidP="004E308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231D8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Nota de crédito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-RESULTADO CONTROL DE CALIDAD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315DBA" w:rsidRDefault="00200484" w:rsidP="004E308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76509E" w:rsidRDefault="00200484" w:rsidP="004E308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Referencia interna del programa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92EBF" w:rsidP="00F55A00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F55A0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SUMADA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4E308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4E308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231D8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Facturas de proveedores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484" w:rsidTr="00B036C2">
                    <w:tc>
                      <w:tcPr>
                        <w:tcW w:w="36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Pr="00E2531C" w:rsidRDefault="00914D4B" w:rsidP="004E308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-SUMADO</w:t>
                        </w:r>
                      </w:p>
                    </w:tc>
                    <w:tc>
                      <w:tcPr>
                        <w:tcW w:w="3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4E308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5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4E308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E2531C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Nota de crédito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  <w:tcBorders>
                          <w:left w:val="nil"/>
                        </w:tcBorders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13" w:type="dxa"/>
                      </w:tcPr>
                      <w:p w:rsidR="00200484" w:rsidRDefault="00200484" w:rsidP="00200484">
                        <w:pPr>
                          <w:rPr>
                            <w:rFonts w:ascii="Garamond" w:hAnsi="Garamond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00484" w:rsidRDefault="00200484" w:rsidP="00200484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200484" w:rsidRPr="0053135D" w:rsidRDefault="00200484" w:rsidP="00200484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3.85pt;margin-top:173.9pt;width:571.8pt;height:89.6pt;z-index:251702272" strokeweight="1.25pt">
            <v:textbox style="mso-next-textbox:#_x0000_s1073">
              <w:txbxContent>
                <w:p w:rsidR="00200484" w:rsidRPr="00E86850" w:rsidRDefault="00200484" w:rsidP="00200484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86850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E86850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E86850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Pr="00E86850">
                    <w:rPr>
                      <w:rFonts w:ascii="Garamond" w:hAnsi="Garamond"/>
                      <w:sz w:val="24"/>
                      <w:szCs w:val="24"/>
                    </w:rPr>
                    <w:t>Lleva cuentas con los proveedores</w:t>
                  </w:r>
                </w:p>
                <w:p w:rsidR="00200484" w:rsidRPr="00E86850" w:rsidRDefault="00200484" w:rsidP="00200484">
                  <w:pPr>
                    <w:spacing w:after="0"/>
                    <w:ind w:firstLine="708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E86850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E86850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ance del proyecto / Requerimiento –  </w:t>
                  </w:r>
                  <w:r w:rsidRPr="00E86850">
                    <w:rPr>
                      <w:rFonts w:ascii="Garamond" w:hAnsi="Garamond"/>
                      <w:sz w:val="24"/>
                      <w:szCs w:val="24"/>
                    </w:rPr>
                    <w:t>Administración de cuentas de compras con proveedores</w:t>
                  </w:r>
                </w:p>
                <w:p w:rsidR="00200484" w:rsidRPr="005146DD" w:rsidRDefault="00200484" w:rsidP="00200484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Lleva la registración de los movimientos contables con proveedores por ordenes de compras. Admite facturaciones y notas de crédito por devoluciones.</w:t>
                  </w:r>
                </w:p>
                <w:p w:rsidR="00200484" w:rsidRPr="00657EF1" w:rsidRDefault="00200484" w:rsidP="00200484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Control final monetario.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-23.85pt;margin-top:153.95pt;width:571.8pt;height:19.95pt;z-index:251701248" fillcolor="#d8d8d8 [2732]" strokeweight="1.25pt">
            <v:textbox style="mso-next-textbox:#_x0000_s1072">
              <w:txbxContent>
                <w:p w:rsidR="00200484" w:rsidRPr="0078103B" w:rsidRDefault="00200484" w:rsidP="00200484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322.2pt;margin-top:89pt;width:225.6pt;height:30.7pt;z-index:251699200" strokeweight="1.25pt">
            <v:textbox style="mso-next-textbox:#_x0000_s1070">
              <w:txbxContent>
                <w:p w:rsidR="00200484" w:rsidRPr="002934A4" w:rsidRDefault="00200484" w:rsidP="00200484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-23.85pt;margin-top:58.3pt;width:346.2pt;height:30.7pt;z-index:251697152" strokeweight="1.25pt">
            <v:textbox style="mso-next-textbox:#_x0000_s1068">
              <w:txbxContent>
                <w:p w:rsidR="00200484" w:rsidRDefault="00200484" w:rsidP="0020048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388.1pt;margin-top:27.6pt;width:95.15pt;height:30.7pt;z-index:251696128" strokeweight="1.25pt">
            <v:textbox style="mso-next-textbox:#_x0000_s1067">
              <w:txbxContent>
                <w:p w:rsidR="00200484" w:rsidRPr="00612B47" w:rsidRDefault="00200484" w:rsidP="00200484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322.35pt;margin-top:27.6pt;width:1in;height:30.7pt;z-index:251695104" strokeweight="1.25pt">
            <v:textbox style="mso-next-textbox:#_x0000_s1066">
              <w:txbxContent>
                <w:p w:rsidR="00200484" w:rsidRDefault="00200484" w:rsidP="00200484"/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138.9pt;margin-top:27.6pt;width:43.85pt;height:30.7pt;z-index:251694080" strokeweight="1.25pt">
            <v:textbox style="mso-next-textbox:#_x0000_s1065">
              <w:txbxContent>
                <w:p w:rsidR="00200484" w:rsidRPr="004A15C6" w:rsidRDefault="00200484" w:rsidP="00200484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58.3pt;margin-top:27.6pt;width:80.75pt;height:30.7pt;z-index:251693056" strokeweight="1.25pt">
            <v:textbox style="mso-next-textbox:#_x0000_s1064">
              <w:txbxContent>
                <w:p w:rsidR="00200484" w:rsidRPr="002934A4" w:rsidRDefault="00200484" w:rsidP="00200484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-23.85pt;margin-top:27.6pt;width:82pt;height:30.7pt;z-index:251692032" strokeweight="1.25pt">
            <v:textbox style="mso-next-textbox:#_x0000_s1063">
              <w:txbxContent>
                <w:p w:rsidR="00200484" w:rsidRPr="002934A4" w:rsidRDefault="00200484" w:rsidP="00200484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2" type="#_x0000_t202" style="position:absolute;margin-left:-23.85pt;margin-top:27.6pt;width:571.8pt;height:30.7pt;z-index:251691008" strokeweight="1.25pt">
            <v:textbox style="mso-next-textbox:#_x0000_s1062">
              <w:txbxContent>
                <w:p w:rsidR="00200484" w:rsidRDefault="00200484" w:rsidP="00200484"/>
              </w:txbxContent>
            </v:textbox>
          </v:shape>
        </w:pict>
      </w:r>
      <w:r>
        <w:rPr>
          <w:noProof/>
          <w:lang w:eastAsia="es-AR"/>
        </w:rPr>
        <w:pict>
          <v:shape id="_x0000_s1060" type="#_x0000_t202" style="position:absolute;margin-left:133.4pt;margin-top:-23.65pt;width:414.4pt;height:29.35pt;z-index:251688960" fillcolor="#d8d8d8 [2732]" strokeweight="1.25pt">
            <v:textbox style="mso-next-textbox:#_x0000_s1060">
              <w:txbxContent>
                <w:p w:rsidR="00200484" w:rsidRPr="00612B47" w:rsidRDefault="00200484" w:rsidP="00200484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Cuentas corrientes con proveedores</w:t>
                  </w:r>
                  <w:r w:rsidR="00957BE7">
                    <w:rPr>
                      <w:rFonts w:ascii="Garamond" w:hAnsi="Garamond"/>
                      <w:sz w:val="28"/>
                      <w:szCs w:val="28"/>
                    </w:rPr>
                    <w:t xml:space="preserve"> – Parte 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9" type="#_x0000_t202" style="position:absolute;margin-left:-23.85pt;margin-top:-23.65pt;width:571.8pt;height:29.35pt;z-index:251687936" fillcolor="#d8d8d8 [2732]" strokeweight="1.25pt">
            <v:textbox style="mso-next-textbox:#_x0000_s1059">
              <w:txbxContent>
                <w:p w:rsidR="00200484" w:rsidRPr="002934A4" w:rsidRDefault="00200484" w:rsidP="00200484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3.85pt;margin-top:770.4pt;width:571.8pt;height:4.65pt;z-index:251704320" strokeweight="1.25pt">
            <v:textbox style="mso-next-textbox:#_x0000_s1075">
              <w:txbxContent>
                <w:p w:rsidR="00200484" w:rsidRDefault="00200484" w:rsidP="00200484">
                  <w:r>
                    <w:t xml:space="preserve">     </w:t>
                  </w:r>
                </w:p>
              </w:txbxContent>
            </v:textbox>
          </v:shape>
        </w:pict>
      </w:r>
    </w:p>
    <w:p w:rsidR="00200484" w:rsidRDefault="00200484"/>
    <w:p w:rsidR="00200484" w:rsidRDefault="008A1FB7">
      <w:r>
        <w:rPr>
          <w:noProof/>
          <w:lang w:eastAsia="es-AR"/>
        </w:rPr>
        <w:pict>
          <v:shape id="_x0000_s1083" type="#_x0000_t202" style="position:absolute;margin-left:-24.25pt;margin-top:211.5pt;width:571.8pt;height:4.65pt;z-index:251710464" strokeweight="1.25pt">
            <v:textbox style="mso-next-textbox:#_x0000_s1083">
              <w:txbxContent>
                <w:p w:rsidR="007A1F4E" w:rsidRDefault="007A1F4E" w:rsidP="007A1F4E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2" type="#_x0000_t202" style="position:absolute;margin-left:-23.7pt;margin-top:98.4pt;width:571.8pt;height:4.65pt;z-index:251709440" strokeweight="1.25pt">
            <v:textbox style="mso-next-textbox:#_x0000_s1082">
              <w:txbxContent>
                <w:p w:rsidR="007A1F4E" w:rsidRDefault="007A1F4E" w:rsidP="007A1F4E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-23.7pt;margin-top:68.8pt;width:346.2pt;height:30.7pt;z-index:251698176" strokeweight="1.25pt">
            <v:textbox style="mso-next-textbox:#_x0000_s1069">
              <w:txbxContent>
                <w:p w:rsidR="00200484" w:rsidRDefault="00200484" w:rsidP="00200484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322.5pt;margin-top:68.8pt;width:225.6pt;height:30.7pt;z-index:251700224" strokeweight="1.25pt">
            <v:textbox style="mso-next-textbox:#_x0000_s1071">
              <w:txbxContent>
                <w:p w:rsidR="00200484" w:rsidRPr="002934A4" w:rsidRDefault="00200484" w:rsidP="00200484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322.35pt;margin-top:7.4pt;width:225.6pt;height:30.7pt;z-index:251707392" strokeweight="1.25pt">
            <v:textbox style="mso-next-textbox:#_x0000_s1079">
              <w:txbxContent>
                <w:p w:rsidR="007A1F4E" w:rsidRPr="002934A4" w:rsidRDefault="007A1F4E" w:rsidP="007A1F4E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3.7pt;margin-top:38.1pt;width:346.2pt;height:30.7pt;z-index:251706368" strokeweight="1.25pt">
            <v:textbox style="mso-next-textbox:#_x0000_s1078">
              <w:txbxContent>
                <w:p w:rsidR="007A1F4E" w:rsidRPr="002934A4" w:rsidRDefault="007A1F4E" w:rsidP="007A1F4E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7" type="#_x0000_t202" style="position:absolute;margin-left:-24pt;margin-top:216.15pt;width:571.8pt;height:29.35pt;z-index:251705344" fillcolor="#d8d8d8 [2732]" strokeweight="1.25pt">
            <v:textbox style="mso-next-textbox:#_x0000_s1077">
              <w:txbxContent>
                <w:p w:rsidR="007A1F4E" w:rsidRPr="0078103B" w:rsidRDefault="007A1F4E" w:rsidP="007A1F4E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 w:rsidR="00200484">
        <w:br w:type="page"/>
      </w:r>
    </w:p>
    <w:p w:rsidR="00CF4939" w:rsidRDefault="008A1FB7">
      <w:r>
        <w:rPr>
          <w:noProof/>
          <w:lang w:eastAsia="es-AR"/>
        </w:rPr>
        <w:lastRenderedPageBreak/>
        <w:pict>
          <v:shape id="_x0000_s1081" type="#_x0000_t202" style="position:absolute;margin-left:-23.35pt;margin-top:10.25pt;width:571.8pt;height:4.65pt;z-index:251708416" strokeweight="1.25pt">
            <v:textbox style="mso-next-textbox:#_x0000_s1081">
              <w:txbxContent>
                <w:p w:rsidR="007A1F4E" w:rsidRDefault="007A1F4E" w:rsidP="007A1F4E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8" type="#_x0000_t202" style="position:absolute;margin-left:-23.5pt;margin-top:14.9pt;width:571.8pt;height:22.5pt;z-index:251686912" fillcolor="#d8d8d8 [2732]" strokeweight="1.25pt">
            <v:textbox style="mso-next-textbox:#_x0000_s1058">
              <w:txbxContent>
                <w:p w:rsidR="00200484" w:rsidRPr="0078103B" w:rsidRDefault="00200484" w:rsidP="00200484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7" type="#_x0000_t202" style="position:absolute;margin-left:-23.65pt;margin-top:37.4pt;width:571.8pt;height:743.65pt;z-index:251685888" strokeweight="1.25pt">
            <v:textbox style="mso-next-textbox:#_x0000_s1057">
              <w:txbxContent>
                <w:p w:rsidR="00200484" w:rsidRPr="00957BE7" w:rsidRDefault="00200484" w:rsidP="00957BE7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2ECE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Descripción de la funcionalidad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</w:p>
                <w:p w:rsidR="00957BE7" w:rsidRDefault="00957BE7" w:rsidP="00957BE7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957BE7" w:rsidRDefault="00957BE7" w:rsidP="00957BE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957BE7" w:rsidRPr="00CD32B6" w:rsidRDefault="00957BE7" w:rsidP="00957BE7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Cuentas corrientes con proveedores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el usuario presionará el botón “Dar alta a cuenta corriente” en donde podrá seleccionar un proveedor y adjudicarle un banco y un número de cuenta que dará el alta a los campos </w:t>
                  </w:r>
                  <w:r w:rsidRPr="00CD32B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PROVEEDOR, NOMBRE DE PROVEEDOR, BANCO, NUMERO DE CUENTA&gt;&gt;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. Cuando el usuario confirme la selección por medio de un botón “Confirmar cuenta corriente”, entonces los campos </w:t>
                  </w:r>
                  <w:r w:rsidRPr="00CD32B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&lt;&lt;DEBE, HABER&gt;&gt;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crearán con sus valores por defecto. </w:t>
                  </w:r>
                  <w:r w:rsidRPr="00CD32B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&lt;&lt;COD. CUENTA CORRIENTE&gt;&gt;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creará automáticamente.</w:t>
                  </w:r>
                </w:p>
                <w:p w:rsidR="00957BE7" w:rsidRDefault="00957BE7" w:rsidP="00957BE7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Se listará por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(1)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Nombre de proveedor. </w:t>
                  </w:r>
                  <w:r w:rsidRPr="00CD32B6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Facturas pagas, </w:t>
                  </w:r>
                  <w:r w:rsidRPr="00CD32B6">
                    <w:rPr>
                      <w:rFonts w:ascii="Century" w:hAnsi="Century"/>
                      <w:b/>
                      <w:sz w:val="18"/>
                      <w:szCs w:val="18"/>
                    </w:rPr>
                    <w:t>(3)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Notas de crédito pagas</w:t>
                  </w:r>
                </w:p>
                <w:p w:rsidR="00812DB9" w:rsidRPr="002F4750" w:rsidRDefault="00957BE7" w:rsidP="00957BE7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: 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Para poder modificar los campos </w:t>
                  </w:r>
                  <w:r w:rsidRPr="00CD32B6">
                    <w:rPr>
                      <w:rFonts w:ascii="Century" w:hAnsi="Century"/>
                      <w:b/>
                      <w:sz w:val="18"/>
                      <w:szCs w:val="18"/>
                    </w:rPr>
                    <w:t>&lt;&lt;DEBE, HABER&gt;&gt;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 el usuario ingresará a la pestaña “modificar saldos”. Podrá ver en una grilla todas las </w:t>
                  </w:r>
                  <w:r w:rsidRPr="00812DB9">
                    <w:rPr>
                      <w:rFonts w:ascii="Century" w:hAnsi="Century"/>
                      <w:b/>
                      <w:sz w:val="18"/>
                      <w:szCs w:val="18"/>
                    </w:rPr>
                    <w:t>Notas de crédito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 y </w:t>
                  </w:r>
                  <w:r w:rsidRPr="00812DB9">
                    <w:rPr>
                      <w:rFonts w:ascii="Century" w:hAnsi="Century"/>
                      <w:b/>
                      <w:sz w:val="18"/>
                      <w:szCs w:val="18"/>
                    </w:rPr>
                    <w:t>Facturas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 que no están cargadas en el sistema. Teniendo un registro seleccionado, podrá presionar el botón “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C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>argar saldo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s manualmente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>”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. En otro caso, sin seleccionar nada, podrá pulsar el botón</w:t>
                  </w:r>
                  <w:r w:rsidR="00C54A9F">
                    <w:rPr>
                      <w:rFonts w:ascii="Century" w:hAnsi="Century"/>
                      <w:sz w:val="18"/>
                      <w:szCs w:val="18"/>
                    </w:rPr>
                    <w:t xml:space="preserve"> “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Cargar saldos automáticamente”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. Si el registro es de tipo Factura de proveedores, entonces el </w:t>
                  </w:r>
                  <w:r w:rsidRPr="00CD32B6">
                    <w:rPr>
                      <w:rFonts w:ascii="Century" w:hAnsi="Century"/>
                      <w:b/>
                      <w:sz w:val="18"/>
                      <w:szCs w:val="18"/>
                    </w:rPr>
                    <w:t>&lt;&lt;IMPORTE&gt;&gt;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 sumará en </w:t>
                  </w:r>
                  <w:r w:rsidRPr="00CD32B6">
                    <w:rPr>
                      <w:rFonts w:ascii="Century" w:hAnsi="Century"/>
                      <w:b/>
                      <w:sz w:val="18"/>
                      <w:szCs w:val="18"/>
                    </w:rPr>
                    <w:t>&lt;&lt;DEBE&gt;&gt;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 si es de tipo Nota de crédito, entonces el </w:t>
                  </w:r>
                  <w:r w:rsidRPr="00CD32B6">
                    <w:rPr>
                      <w:rFonts w:ascii="Century" w:hAnsi="Century"/>
                      <w:b/>
                      <w:sz w:val="18"/>
                      <w:szCs w:val="18"/>
                    </w:rPr>
                    <w:t>&lt;&lt;IMPORTE&gt;&gt;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 se sumará en </w:t>
                  </w:r>
                  <w:r w:rsidRPr="00CD32B6">
                    <w:rPr>
                      <w:rFonts w:ascii="Century" w:hAnsi="Century"/>
                      <w:b/>
                      <w:sz w:val="18"/>
                      <w:szCs w:val="18"/>
                    </w:rPr>
                    <w:t>&lt;&lt;HABER&gt;&gt;</w:t>
                  </w:r>
                  <w:r w:rsidRPr="00CD32B6">
                    <w:rPr>
                      <w:rFonts w:ascii="Century" w:hAnsi="Century"/>
                      <w:sz w:val="18"/>
                      <w:szCs w:val="18"/>
                    </w:rPr>
                    <w:t xml:space="preserve">. 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Al haber concluido las operaciones de suma de saldos, se modificará  </w:t>
                  </w:r>
                  <w:r w:rsidR="00292EBF">
                    <w:rPr>
                      <w:rFonts w:ascii="Century" w:hAnsi="Century"/>
                      <w:b/>
                      <w:sz w:val="18"/>
                      <w:szCs w:val="18"/>
                    </w:rPr>
                    <w:t>&lt;&lt;REGISTRADA</w:t>
                  </w:r>
                  <w:r w:rsidRPr="004C77A4">
                    <w:rPr>
                      <w:rFonts w:ascii="Century" w:hAnsi="Century"/>
                      <w:b/>
                      <w:sz w:val="18"/>
                      <w:szCs w:val="18"/>
                    </w:rPr>
                    <w:t>,</w:t>
                  </w:r>
                  <w:r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Pr="004C77A4">
                    <w:rPr>
                      <w:rFonts w:ascii="Century" w:hAnsi="Century"/>
                      <w:b/>
                      <w:sz w:val="18"/>
                      <w:szCs w:val="18"/>
                    </w:rPr>
                    <w:t>SUMADO&gt;&gt;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a “True” en Facturas de proveedores y Nota de crédito por medio de </w:t>
                  </w:r>
                  <w:r w:rsidRPr="004C77A4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&lt;&lt;COD. FACTURA PROVEEDOR, COD. NOTA DE CRÉDITO&gt;&gt; </w:t>
                  </w:r>
                  <w:r w:rsidR="002F4750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2F4750">
                    <w:rPr>
                      <w:rFonts w:ascii="Century" w:hAnsi="Century"/>
                      <w:sz w:val="18"/>
                      <w:szCs w:val="18"/>
                    </w:rPr>
                    <w:t xml:space="preserve">Se podrá modificar libremente </w:t>
                  </w:r>
                  <w:r w:rsidR="002F4750" w:rsidRPr="002F4750">
                    <w:rPr>
                      <w:rFonts w:ascii="Century" w:hAnsi="Century"/>
                      <w:b/>
                      <w:sz w:val="18"/>
                      <w:szCs w:val="18"/>
                    </w:rPr>
                    <w:t>&lt;&lt;BANCO, NUMERO DE CUENTA&gt;&gt;</w:t>
                  </w:r>
                  <w:r w:rsidR="002F4750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2F4750">
                    <w:rPr>
                      <w:rFonts w:ascii="Century" w:hAnsi="Century"/>
                      <w:sz w:val="18"/>
                      <w:szCs w:val="18"/>
                    </w:rPr>
                    <w:t>Para esto se seleccionará el registro desde una consulta y se presionará el botón “Modificar Banco o Numero de cuenta”.</w:t>
                  </w:r>
                  <w:r w:rsidR="00812DB9">
                    <w:rPr>
                      <w:rFonts w:ascii="Century" w:hAnsi="Century"/>
                      <w:sz w:val="18"/>
                      <w:szCs w:val="18"/>
                    </w:rPr>
                    <w:br/>
                  </w:r>
                  <w:r w:rsidR="00812DB9" w:rsidRPr="00812DB9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NOTA DE CREDITO, COD.FACTURA PROVEEDOR</w:t>
                  </w:r>
                  <w:r w:rsidR="00812DB9">
                    <w:rPr>
                      <w:rFonts w:ascii="Century" w:hAnsi="Century"/>
                      <w:sz w:val="18"/>
                      <w:szCs w:val="18"/>
                    </w:rPr>
                    <w:t>&gt;&gt; se ingresará automáticamente en el alta, para poder referenciar los documentos</w:t>
                  </w:r>
                </w:p>
                <w:p w:rsidR="00957BE7" w:rsidRPr="00200484" w:rsidRDefault="00957BE7" w:rsidP="00957BE7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>Teniendo el registro seleccionado, se presionará botón “Borrar”</w:t>
                  </w:r>
                  <w:r w:rsidRPr="00463766">
                    <w:rPr>
                      <w:rFonts w:ascii="Georgia" w:hAnsi="Georgia"/>
                      <w:sz w:val="16"/>
                      <w:szCs w:val="16"/>
                    </w:rPr>
                    <w:t xml:space="preserve">  </w:t>
                  </w:r>
                </w:p>
                <w:p w:rsidR="00957BE7" w:rsidRPr="00200484" w:rsidRDefault="00957BE7" w:rsidP="00957BE7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200484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funcionalidad.</w:t>
                  </w:r>
                </w:p>
                <w:p w:rsidR="00957BE7" w:rsidRPr="0060640E" w:rsidRDefault="00957BE7" w:rsidP="00957BE7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957BE7" w:rsidRPr="00234B39" w:rsidRDefault="00957BE7" w:rsidP="00957BE7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si existen  </w:t>
                  </w:r>
                  <w:r w:rsidR="002F4750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proveedores cargad</w:t>
                  </w:r>
                  <w:r w:rsidR="00B82C5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o</w:t>
                  </w:r>
                  <w:r w:rsidR="002F4750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 anteriormente</w:t>
                  </w:r>
                </w:p>
                <w:p w:rsidR="00957BE7" w:rsidRPr="00234B39" w:rsidRDefault="00957BE7" w:rsidP="00957BE7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si el campo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2F4750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DEBE, HABER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&gt;&gt;  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 </w:t>
                  </w:r>
                  <w:proofErr w:type="gramStart"/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encuentra</w:t>
                  </w:r>
                  <w:r w:rsidR="002F4750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n</w:t>
                  </w:r>
                  <w:proofErr w:type="gramEnd"/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nulo</w:t>
                  </w:r>
                  <w:r w:rsidR="002F4750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957BE7" w:rsidRDefault="00957BE7" w:rsidP="00957BE7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200484" w:rsidRPr="00FD5882" w:rsidRDefault="00200484" w:rsidP="00200484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6" type="#_x0000_t202" style="position:absolute;margin-left:-23.35pt;margin-top:-19.7pt;width:571.8pt;height:29.35pt;z-index:251684864" fillcolor="#d8d8d8 [2732]" strokeweight="1.25pt">
            <v:textbox style="mso-next-textbox:#_x0000_s1056">
              <w:txbxContent>
                <w:p w:rsidR="00200484" w:rsidRPr="00612B47" w:rsidRDefault="00200484" w:rsidP="00200484">
                  <w:pPr>
                    <w:jc w:val="center"/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  <w:r w:rsidRPr="00A62308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1A4E48">
                    <w:rPr>
                      <w:rFonts w:ascii="Garamond" w:hAnsi="Garamond"/>
                      <w:sz w:val="28"/>
                      <w:szCs w:val="28"/>
                    </w:rPr>
                    <w:t>Cuentas corrientes con proveedores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–Parte 2</w:t>
                  </w:r>
                </w:p>
                <w:p w:rsidR="00200484" w:rsidRPr="002934A4" w:rsidRDefault="00200484" w:rsidP="00200484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5" type="#_x0000_t202" style="position:absolute;margin-left:-23.6pt;margin-top:782.8pt;width:571.8pt;height:4.65pt;z-index:251683840" strokeweight="1.25pt">
            <v:textbox style="mso-next-textbox:#_x0000_s1055">
              <w:txbxContent>
                <w:p w:rsidR="00200484" w:rsidRDefault="00200484" w:rsidP="00200484">
                  <w:r>
                    <w:t xml:space="preserve">     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20DEC"/>
    <w:multiLevelType w:val="hybridMultilevel"/>
    <w:tmpl w:val="2570C13E"/>
    <w:lvl w:ilvl="0" w:tplc="C10A2EEA">
      <w:start w:val="3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1002"/>
    <w:rsid w:val="00017B96"/>
    <w:rsid w:val="00052149"/>
    <w:rsid w:val="00067AEF"/>
    <w:rsid w:val="00067C13"/>
    <w:rsid w:val="00070AF7"/>
    <w:rsid w:val="00090000"/>
    <w:rsid w:val="000B660E"/>
    <w:rsid w:val="001137AA"/>
    <w:rsid w:val="0013007C"/>
    <w:rsid w:val="001326BD"/>
    <w:rsid w:val="0015695C"/>
    <w:rsid w:val="00171243"/>
    <w:rsid w:val="001753BF"/>
    <w:rsid w:val="001841D9"/>
    <w:rsid w:val="001A2C87"/>
    <w:rsid w:val="001A4E48"/>
    <w:rsid w:val="001C4D09"/>
    <w:rsid w:val="001F08B4"/>
    <w:rsid w:val="00200484"/>
    <w:rsid w:val="002049E4"/>
    <w:rsid w:val="00217241"/>
    <w:rsid w:val="00231D84"/>
    <w:rsid w:val="0026250E"/>
    <w:rsid w:val="00292EBF"/>
    <w:rsid w:val="002934A4"/>
    <w:rsid w:val="00297415"/>
    <w:rsid w:val="002A0CA4"/>
    <w:rsid w:val="002B1C3B"/>
    <w:rsid w:val="002C600B"/>
    <w:rsid w:val="002E7CDE"/>
    <w:rsid w:val="002F4750"/>
    <w:rsid w:val="00337654"/>
    <w:rsid w:val="00337E7E"/>
    <w:rsid w:val="003672C9"/>
    <w:rsid w:val="00391CAD"/>
    <w:rsid w:val="003C4417"/>
    <w:rsid w:val="003E34C3"/>
    <w:rsid w:val="003F5CE4"/>
    <w:rsid w:val="004920F1"/>
    <w:rsid w:val="00492ECE"/>
    <w:rsid w:val="004A15C6"/>
    <w:rsid w:val="004B71CD"/>
    <w:rsid w:val="004C0605"/>
    <w:rsid w:val="004C77A4"/>
    <w:rsid w:val="004F39B0"/>
    <w:rsid w:val="005146DD"/>
    <w:rsid w:val="0053068D"/>
    <w:rsid w:val="0053135D"/>
    <w:rsid w:val="00557636"/>
    <w:rsid w:val="00570F44"/>
    <w:rsid w:val="00580C43"/>
    <w:rsid w:val="0058289F"/>
    <w:rsid w:val="00592467"/>
    <w:rsid w:val="005D6B98"/>
    <w:rsid w:val="00612B47"/>
    <w:rsid w:val="00625AF0"/>
    <w:rsid w:val="00657EF1"/>
    <w:rsid w:val="006617CA"/>
    <w:rsid w:val="006714B7"/>
    <w:rsid w:val="0068285A"/>
    <w:rsid w:val="006C30B7"/>
    <w:rsid w:val="006E1C68"/>
    <w:rsid w:val="006E2F42"/>
    <w:rsid w:val="0070422B"/>
    <w:rsid w:val="007163E3"/>
    <w:rsid w:val="00761A13"/>
    <w:rsid w:val="0078103B"/>
    <w:rsid w:val="007A1F4E"/>
    <w:rsid w:val="008002B2"/>
    <w:rsid w:val="00812DB9"/>
    <w:rsid w:val="008154B9"/>
    <w:rsid w:val="00827AAA"/>
    <w:rsid w:val="0083431D"/>
    <w:rsid w:val="0088783E"/>
    <w:rsid w:val="008A1FB7"/>
    <w:rsid w:val="008B166D"/>
    <w:rsid w:val="008E3141"/>
    <w:rsid w:val="008E697B"/>
    <w:rsid w:val="00914D4B"/>
    <w:rsid w:val="00930641"/>
    <w:rsid w:val="00956292"/>
    <w:rsid w:val="00956712"/>
    <w:rsid w:val="00957BE7"/>
    <w:rsid w:val="009609FD"/>
    <w:rsid w:val="00962458"/>
    <w:rsid w:val="0096401F"/>
    <w:rsid w:val="009834CB"/>
    <w:rsid w:val="00983F82"/>
    <w:rsid w:val="009C5188"/>
    <w:rsid w:val="009E1D4A"/>
    <w:rsid w:val="009E31F9"/>
    <w:rsid w:val="009F47DA"/>
    <w:rsid w:val="00A01000"/>
    <w:rsid w:val="00A044F3"/>
    <w:rsid w:val="00A06E68"/>
    <w:rsid w:val="00A2426D"/>
    <w:rsid w:val="00AB5CC3"/>
    <w:rsid w:val="00B036C2"/>
    <w:rsid w:val="00B20BED"/>
    <w:rsid w:val="00B50C34"/>
    <w:rsid w:val="00B615B1"/>
    <w:rsid w:val="00B730C5"/>
    <w:rsid w:val="00B82C55"/>
    <w:rsid w:val="00BB16A2"/>
    <w:rsid w:val="00BC1396"/>
    <w:rsid w:val="00BF56D7"/>
    <w:rsid w:val="00C204DE"/>
    <w:rsid w:val="00C477F0"/>
    <w:rsid w:val="00C54A9F"/>
    <w:rsid w:val="00C60528"/>
    <w:rsid w:val="00C94A67"/>
    <w:rsid w:val="00CD32B6"/>
    <w:rsid w:val="00CE4D16"/>
    <w:rsid w:val="00CF4939"/>
    <w:rsid w:val="00D21495"/>
    <w:rsid w:val="00D27713"/>
    <w:rsid w:val="00D643C6"/>
    <w:rsid w:val="00D734D2"/>
    <w:rsid w:val="00D8072A"/>
    <w:rsid w:val="00D914FF"/>
    <w:rsid w:val="00D965BC"/>
    <w:rsid w:val="00DB35E4"/>
    <w:rsid w:val="00DC022D"/>
    <w:rsid w:val="00DC5069"/>
    <w:rsid w:val="00E22B17"/>
    <w:rsid w:val="00E2531C"/>
    <w:rsid w:val="00E476CC"/>
    <w:rsid w:val="00E56ACC"/>
    <w:rsid w:val="00E86850"/>
    <w:rsid w:val="00E94A8B"/>
    <w:rsid w:val="00EA3DBE"/>
    <w:rsid w:val="00EB7CE2"/>
    <w:rsid w:val="00EE2769"/>
    <w:rsid w:val="00F55A00"/>
    <w:rsid w:val="00F82052"/>
    <w:rsid w:val="00F84680"/>
    <w:rsid w:val="00F90D43"/>
    <w:rsid w:val="00F93157"/>
    <w:rsid w:val="00FB00EF"/>
    <w:rsid w:val="00FB2C23"/>
    <w:rsid w:val="00FB5101"/>
    <w:rsid w:val="00FC482B"/>
    <w:rsid w:val="00FD1793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204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47</cp:revision>
  <dcterms:created xsi:type="dcterms:W3CDTF">2019-05-02T19:37:00Z</dcterms:created>
  <dcterms:modified xsi:type="dcterms:W3CDTF">2019-05-30T19:29:00Z</dcterms:modified>
</cp:coreProperties>
</file>