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D02BBA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5pt;margin-top:5in;width:534.1pt;height:159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135"/>
                    <w:gridCol w:w="3465"/>
                  </w:tblGrid>
                  <w:tr w:rsidR="00AB603E" w:rsidRPr="002531AC" w:rsidTr="006056B9">
                    <w:tc>
                      <w:tcPr>
                        <w:tcW w:w="3794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6056B9" w:rsidRDefault="00AB603E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056B9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REGISTRACIÓN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26D97"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INFORME DE RECEPCION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056B9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984D0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Pr="00526D97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Pr="0076509E" w:rsidRDefault="006056B9" w:rsidP="00984D0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 w:rsidRPr="00984D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AB603E" w:rsidRPr="00526D97" w:rsidTr="006056B9">
                    <w:tc>
                      <w:tcPr>
                        <w:tcW w:w="3794" w:type="dxa"/>
                      </w:tcPr>
                      <w:p w:rsidR="00AB603E" w:rsidRPr="00526D97" w:rsidRDefault="00AB603E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526D9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D062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AB603E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AB603E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DA1853" w:rsidRPr="00526D97" w:rsidTr="006056B9">
                    <w:tc>
                      <w:tcPr>
                        <w:tcW w:w="3794" w:type="dxa"/>
                      </w:tcPr>
                      <w:p w:rsidR="00DA1853" w:rsidRPr="00526D97" w:rsidRDefault="00DA1853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-COD.PRODUCTO / BIEN DE USO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DA1853" w:rsidRDefault="00CD6D3B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A1853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DA1853" w:rsidRPr="0076509E" w:rsidRDefault="00DA1853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D062D" w:rsidRDefault="005D062D" w:rsidP="005D062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CD6D3B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5D062D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="002A18B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 o SC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984D01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6056B9" w:rsidRPr="00526D97" w:rsidTr="006056B9">
                    <w:tc>
                      <w:tcPr>
                        <w:tcW w:w="3794" w:type="dxa"/>
                      </w:tcPr>
                      <w:p w:rsidR="006056B9" w:rsidRDefault="006056B9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E3739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056B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ACTUAL</w:t>
                        </w:r>
                      </w:p>
                    </w:tc>
                    <w:tc>
                      <w:tcPr>
                        <w:tcW w:w="3135" w:type="dxa"/>
                      </w:tcPr>
                      <w:p w:rsidR="006056B9" w:rsidRDefault="006056B9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5" w:type="dxa"/>
                      </w:tcPr>
                      <w:p w:rsidR="006056B9" w:rsidRDefault="00C5243C" w:rsidP="00C5243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 o bienes de uso</w:t>
                        </w:r>
                      </w:p>
                    </w:tc>
                  </w:tr>
                  <w:tr w:rsidR="005D062D" w:rsidRPr="00526D97" w:rsidTr="006056B9">
                    <w:tc>
                      <w:tcPr>
                        <w:tcW w:w="3794" w:type="dxa"/>
                      </w:tcPr>
                      <w:p w:rsidR="005D062D" w:rsidRPr="00526D97" w:rsidRDefault="005D062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3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 w:rsidR="005D062D" w:rsidRPr="00526D97" w:rsidRDefault="005D062D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C4DF1" w:rsidRPr="00526D97" w:rsidRDefault="00CC4DF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8.95pt;width:571.8pt;height:473pt;z-index:251678720" strokeweight="1.25pt">
            <v:textbox style="mso-next-textbox:#_x0000_s1046">
              <w:txbxContent>
                <w:p w:rsidR="005541AC" w:rsidRDefault="005541AC" w:rsidP="005541AC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D230BF" w:rsidRPr="00526D97" w:rsidRDefault="00526D97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</w:t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6348C0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5541AC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D230BF" w:rsidRPr="00526D97" w:rsidRDefault="00D230BF" w:rsidP="00D230B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30BF" w:rsidRDefault="00D230BF" w:rsidP="00D230BF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8783E" w:rsidRDefault="0088783E" w:rsidP="00D230BF">
                  <w:pPr>
                    <w:rPr>
                      <w:szCs w:val="20"/>
                    </w:rPr>
                  </w:pPr>
                </w:p>
                <w:p w:rsidR="00526D97" w:rsidRDefault="00526D97" w:rsidP="00D230BF">
                  <w:pPr>
                    <w:rPr>
                      <w:szCs w:val="20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D062D" w:rsidRDefault="005D062D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056B9" w:rsidRDefault="006056B9" w:rsidP="00526D97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315DBA" w:rsidRDefault="00526D97" w:rsidP="00526D9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="002A18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productos</w:t>
                  </w:r>
                  <w:r w:rsid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cuyo </w:t>
                  </w:r>
                  <w:r w:rsidR="006056B9" w:rsidRPr="006056B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A18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 INFORME RECEPCION&gt;&gt; </w:t>
                  </w:r>
                  <w:r w:rsidR="002A18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No esté en ningún registro de la tabla [Registración] 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presionará el botón “Registrar bienes aprobados” y esta funcionalidad escribirá por todos los registros disponibles los campos 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INF</w:t>
                  </w:r>
                  <w:r w:rsidR="002A18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ORME DE RECEPCION</w:t>
                  </w:r>
                  <w:proofErr w:type="gramStart"/>
                  <w:r w:rsidR="002A18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proofErr w:type="gramEnd"/>
                  <w:r w:rsidR="006056B9" w:rsidRPr="009F310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COD. REGISTRACION, FECHA DE REGISTRACIÓN&gt;&gt;</w:t>
                  </w:r>
                  <w:r w:rsidR="006056B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manera automatizada.</w:t>
                  </w:r>
                </w:p>
                <w:p w:rsidR="00526D97" w:rsidRPr="0067431B" w:rsidRDefault="00526D97" w:rsidP="00526D9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Código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de registración, </w:t>
                  </w:r>
                  <w:r w:rsidR="006056B9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 Fecha de registración</w:t>
                  </w:r>
                </w:p>
                <w:p w:rsidR="00104292" w:rsidRPr="00D80D9D" w:rsidRDefault="00526D97" w:rsidP="00526D97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6056B9">
                    <w:rPr>
                      <w:rFonts w:ascii="Century" w:hAnsi="Century"/>
                      <w:sz w:val="18"/>
                      <w:szCs w:val="18"/>
                    </w:rPr>
                    <w:t xml:space="preserve">Cuando se cree cada registro, se modificará 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DA1853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ACTUAL&gt;&gt;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de las entidades, que, discriminando por el valor de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&lt;&lt;TIPO&gt;&gt;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(cuyos valores podrán ser “Pr” o “Sc”, indicarán que la transacción se efectuará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Stock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en el primer caso y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Bienes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 para el segundo)  a dicha entidad, en dicho campo, se sumará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el valor que haya en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 xml:space="preserve"> utilizando </w:t>
                  </w:r>
                  <w:r w:rsidR="009F310B" w:rsidRPr="009F310B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PRODUCTO / BIEN DE USO</w:t>
                  </w:r>
                  <w:r w:rsidR="009F310B">
                    <w:rPr>
                      <w:rFonts w:ascii="Century" w:hAnsi="Century"/>
                      <w:sz w:val="18"/>
                      <w:szCs w:val="18"/>
                    </w:rPr>
                    <w:t>&gt;&gt; para establecer la referencia al mismo.</w:t>
                  </w:r>
                  <w:r w:rsidR="00DA185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br/>
                    <w:t xml:space="preserve">En la entidad Remito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&lt;&lt;CARGADO EN STOCK&gt;&gt;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por ese </w:t>
                  </w:r>
                  <w:r w:rsidR="00104292" w:rsidRPr="00602A3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REMITO&gt;&gt;</w:t>
                  </w:r>
                  <w:r w:rsidR="00104292">
                    <w:rPr>
                      <w:rFonts w:ascii="Century" w:hAnsi="Century"/>
                      <w:sz w:val="18"/>
                      <w:szCs w:val="18"/>
                    </w:rPr>
                    <w:t xml:space="preserve"> pasará a tener el valor “True”.</w:t>
                  </w:r>
                </w:p>
                <w:p w:rsidR="009F310B" w:rsidRDefault="009F310B" w:rsidP="00526D97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26D97" w:rsidRPr="00D230BF" w:rsidRDefault="00526D97" w:rsidP="00D230B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9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8.2pt;width:571.8pt;height:20.7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4.6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5pt;width:571.8pt;height:102.15pt;z-index:251676672" strokeweight="1.25pt">
            <v:textbox style="mso-next-textbox:#_x0000_s1044">
              <w:txbxContent>
                <w:p w:rsidR="00BC1396" w:rsidRPr="00526D97" w:rsidRDefault="009F47DA" w:rsidP="00526D97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526D9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526D9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526D9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DC0464" w:rsidRPr="00526D97">
                    <w:rPr>
                      <w:rFonts w:ascii="Garamond" w:hAnsi="Garamond"/>
                      <w:sz w:val="24"/>
                      <w:szCs w:val="24"/>
                    </w:rPr>
                    <w:t xml:space="preserve">Registra los productos </w:t>
                  </w:r>
                </w:p>
                <w:p w:rsidR="0088783E" w:rsidRPr="00657EF1" w:rsidRDefault="001A4540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Completa el circuito de compras</w:t>
                  </w:r>
                </w:p>
                <w:p w:rsidR="00C60528" w:rsidRPr="005146DD" w:rsidRDefault="0088783E" w:rsidP="00526D97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 Aumenta el stock con los remitos aprobados por control de calidad. Aumenta los bienes de uso aprobados por control de calidad.</w:t>
                  </w:r>
                </w:p>
                <w:p w:rsidR="0088783E" w:rsidRPr="00657EF1" w:rsidRDefault="009F47DA" w:rsidP="00526D97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>Garantiza control interno al centralizar la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 xml:space="preserve"> seguridad de aumentar el stock y los bienes de uso </w:t>
                  </w:r>
                  <w:r w:rsidR="00DC0464">
                    <w:rPr>
                      <w:rFonts w:ascii="Garamond" w:hAnsi="Garamond"/>
                      <w:sz w:val="24"/>
                      <w:szCs w:val="24"/>
                    </w:rPr>
                    <w:t xml:space="preserve">luego de llegar al final de todas las </w:t>
                  </w:r>
                  <w:r w:rsidR="001E5C60">
                    <w:rPr>
                      <w:rFonts w:ascii="Garamond" w:hAnsi="Garamond"/>
                      <w:sz w:val="24"/>
                      <w:szCs w:val="24"/>
                    </w:rPr>
                    <w:t>comprobaciones anteriores.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DC0464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586"/>
    <w:multiLevelType w:val="hybridMultilevel"/>
    <w:tmpl w:val="0F04808C"/>
    <w:lvl w:ilvl="0" w:tplc="5FAA89D4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1D70"/>
    <w:multiLevelType w:val="hybridMultilevel"/>
    <w:tmpl w:val="BE3EF8BA"/>
    <w:lvl w:ilvl="0" w:tplc="C202804E">
      <w:start w:val="3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4D1A"/>
    <w:rsid w:val="00067AEF"/>
    <w:rsid w:val="00067C13"/>
    <w:rsid w:val="00070AF7"/>
    <w:rsid w:val="000775C8"/>
    <w:rsid w:val="00090000"/>
    <w:rsid w:val="0009321F"/>
    <w:rsid w:val="000B660E"/>
    <w:rsid w:val="000C3585"/>
    <w:rsid w:val="00104292"/>
    <w:rsid w:val="0013007C"/>
    <w:rsid w:val="0015695C"/>
    <w:rsid w:val="001753BF"/>
    <w:rsid w:val="001841D9"/>
    <w:rsid w:val="001A2C87"/>
    <w:rsid w:val="001A4540"/>
    <w:rsid w:val="001C4D09"/>
    <w:rsid w:val="001E5C60"/>
    <w:rsid w:val="001F08B4"/>
    <w:rsid w:val="00217241"/>
    <w:rsid w:val="002531AC"/>
    <w:rsid w:val="0026250E"/>
    <w:rsid w:val="002934A4"/>
    <w:rsid w:val="002A155B"/>
    <w:rsid w:val="002A18BA"/>
    <w:rsid w:val="002B1C3B"/>
    <w:rsid w:val="002E7CDE"/>
    <w:rsid w:val="003672C9"/>
    <w:rsid w:val="00385B9C"/>
    <w:rsid w:val="00391CAD"/>
    <w:rsid w:val="003C4417"/>
    <w:rsid w:val="003E34C3"/>
    <w:rsid w:val="003E6281"/>
    <w:rsid w:val="003F5CE4"/>
    <w:rsid w:val="00412D62"/>
    <w:rsid w:val="00435539"/>
    <w:rsid w:val="00435A67"/>
    <w:rsid w:val="00492ECE"/>
    <w:rsid w:val="004A15C6"/>
    <w:rsid w:val="004B71CD"/>
    <w:rsid w:val="004D50EA"/>
    <w:rsid w:val="004F3C88"/>
    <w:rsid w:val="005146DD"/>
    <w:rsid w:val="00526D97"/>
    <w:rsid w:val="0053068D"/>
    <w:rsid w:val="005541AC"/>
    <w:rsid w:val="00557636"/>
    <w:rsid w:val="00570F44"/>
    <w:rsid w:val="00592467"/>
    <w:rsid w:val="005A718E"/>
    <w:rsid w:val="005D062D"/>
    <w:rsid w:val="005D6B98"/>
    <w:rsid w:val="00602A34"/>
    <w:rsid w:val="006056B9"/>
    <w:rsid w:val="00612B47"/>
    <w:rsid w:val="00625AF0"/>
    <w:rsid w:val="006348C0"/>
    <w:rsid w:val="00657EF1"/>
    <w:rsid w:val="0068285A"/>
    <w:rsid w:val="006C30B7"/>
    <w:rsid w:val="006E2F42"/>
    <w:rsid w:val="0070422B"/>
    <w:rsid w:val="007447BD"/>
    <w:rsid w:val="0077390B"/>
    <w:rsid w:val="0078103B"/>
    <w:rsid w:val="008002B2"/>
    <w:rsid w:val="008154B9"/>
    <w:rsid w:val="00827AAA"/>
    <w:rsid w:val="00861AAC"/>
    <w:rsid w:val="0088783E"/>
    <w:rsid w:val="008B166D"/>
    <w:rsid w:val="008E3141"/>
    <w:rsid w:val="008E697B"/>
    <w:rsid w:val="00910AD6"/>
    <w:rsid w:val="00930641"/>
    <w:rsid w:val="0094403D"/>
    <w:rsid w:val="00956292"/>
    <w:rsid w:val="009609FD"/>
    <w:rsid w:val="00961C4A"/>
    <w:rsid w:val="009834CB"/>
    <w:rsid w:val="00984D01"/>
    <w:rsid w:val="009C5188"/>
    <w:rsid w:val="009E1D4A"/>
    <w:rsid w:val="009F310B"/>
    <w:rsid w:val="009F47DA"/>
    <w:rsid w:val="00A01000"/>
    <w:rsid w:val="00A044F3"/>
    <w:rsid w:val="00A06E68"/>
    <w:rsid w:val="00A076AD"/>
    <w:rsid w:val="00A66012"/>
    <w:rsid w:val="00AB5CC3"/>
    <w:rsid w:val="00AB603E"/>
    <w:rsid w:val="00B20BED"/>
    <w:rsid w:val="00B50C34"/>
    <w:rsid w:val="00BB16A2"/>
    <w:rsid w:val="00BC1396"/>
    <w:rsid w:val="00C204DE"/>
    <w:rsid w:val="00C470DF"/>
    <w:rsid w:val="00C477F0"/>
    <w:rsid w:val="00C50490"/>
    <w:rsid w:val="00C5243C"/>
    <w:rsid w:val="00C60528"/>
    <w:rsid w:val="00CC346A"/>
    <w:rsid w:val="00CC4DF1"/>
    <w:rsid w:val="00CD6D3B"/>
    <w:rsid w:val="00CE4D16"/>
    <w:rsid w:val="00CF4939"/>
    <w:rsid w:val="00CF5B58"/>
    <w:rsid w:val="00D02BBA"/>
    <w:rsid w:val="00D04A57"/>
    <w:rsid w:val="00D21495"/>
    <w:rsid w:val="00D230BF"/>
    <w:rsid w:val="00D27713"/>
    <w:rsid w:val="00D32451"/>
    <w:rsid w:val="00D643C6"/>
    <w:rsid w:val="00D8072A"/>
    <w:rsid w:val="00D878B6"/>
    <w:rsid w:val="00D914FF"/>
    <w:rsid w:val="00D965BC"/>
    <w:rsid w:val="00DA1853"/>
    <w:rsid w:val="00DA5F6B"/>
    <w:rsid w:val="00DB35E4"/>
    <w:rsid w:val="00DC022D"/>
    <w:rsid w:val="00DC0464"/>
    <w:rsid w:val="00DC5069"/>
    <w:rsid w:val="00E1656C"/>
    <w:rsid w:val="00E22B17"/>
    <w:rsid w:val="00E94A8B"/>
    <w:rsid w:val="00EB7CE2"/>
    <w:rsid w:val="00EE2769"/>
    <w:rsid w:val="00F44066"/>
    <w:rsid w:val="00F67791"/>
    <w:rsid w:val="00F82052"/>
    <w:rsid w:val="00F84680"/>
    <w:rsid w:val="00F90D43"/>
    <w:rsid w:val="00F93157"/>
    <w:rsid w:val="00FB5101"/>
    <w:rsid w:val="00FC0919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25</cp:revision>
  <dcterms:created xsi:type="dcterms:W3CDTF">2019-05-02T20:27:00Z</dcterms:created>
  <dcterms:modified xsi:type="dcterms:W3CDTF">2019-08-28T15:01:00Z</dcterms:modified>
</cp:coreProperties>
</file>