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6D68B5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54.7pt;width:546.1pt;height:128.35pt;z-index:251682816" stroked="f">
            <v:textbox style="mso-next-textbox:#_x0000_s1053"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CONFIRMACION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75674D" w:rsidRDefault="00CC3F7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CLIENTE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117730" w:rsidP="00117730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de cliente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CUENTA BANCARIA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F87173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CC3F7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IMPORTE</w:t>
                        </w:r>
                        <w:r w:rsidR="009E05D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RECIBIDO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9E05D9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F87173" w:rsidRPr="00315DBA" w:rsidTr="00FD2904">
                    <w:tc>
                      <w:tcPr>
                        <w:tcW w:w="3459" w:type="dxa"/>
                      </w:tcPr>
                      <w:p w:rsidR="00F87173" w:rsidRPr="000219F6" w:rsidRDefault="00F87173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5674D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REGISTRADA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315DBA" w:rsidRDefault="00117730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118E4">
                          <w:rPr>
                            <w:rFonts w:ascii="Century" w:hAnsi="Century"/>
                            <w:sz w:val="18"/>
                            <w:szCs w:val="18"/>
                          </w:rPr>
                          <w:t>C,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</w:t>
                        </w:r>
                        <w:r w:rsidR="00F8717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315DBA" w:rsidRDefault="00C303F7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Confirmación de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l</w:t>
                        </w:r>
                        <w:r w:rsidRPr="0075674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cobro</w:t>
                        </w:r>
                      </w:p>
                    </w:tc>
                  </w:tr>
                  <w:tr w:rsidR="00C303F7" w:rsidRPr="00315DBA" w:rsidTr="00FD2904">
                    <w:tc>
                      <w:tcPr>
                        <w:tcW w:w="3459" w:type="dxa"/>
                      </w:tcPr>
                      <w:p w:rsidR="00C303F7" w:rsidRPr="000219F6" w:rsidRDefault="00C303F7" w:rsidP="00C303F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DEBE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C303F7" w:rsidRDefault="001D1E8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C303F7" w:rsidRDefault="001D1E8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corriente cliente</w:t>
                        </w:r>
                      </w:p>
                    </w:tc>
                  </w:tr>
                  <w:tr w:rsidR="00C303F7" w:rsidRPr="00315DBA" w:rsidTr="00FD2904">
                    <w:tc>
                      <w:tcPr>
                        <w:tcW w:w="3459" w:type="dxa"/>
                      </w:tcPr>
                      <w:p w:rsidR="00C303F7" w:rsidRPr="000219F6" w:rsidRDefault="00C303F7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SALDO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C303F7" w:rsidRDefault="001D1E8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C303F7" w:rsidRDefault="001D1E8A" w:rsidP="00020DE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="00020DEE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 empresa</w:t>
                        </w:r>
                      </w:p>
                    </w:tc>
                  </w:tr>
                  <w:tr w:rsidR="001C1DDE" w:rsidRPr="00315DBA" w:rsidTr="00FD2904">
                    <w:tc>
                      <w:tcPr>
                        <w:tcW w:w="3459" w:type="dxa"/>
                      </w:tcPr>
                      <w:p w:rsidR="001C1DDE" w:rsidRPr="000219F6" w:rsidRDefault="001C1DDE" w:rsidP="00F871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REGISTRACION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1C1DDE" w:rsidRDefault="001C1DDE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C1DDE" w:rsidRDefault="001C1DDE" w:rsidP="00020DEE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288.85pt;width:571.8pt;height:492.9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4A3D54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F871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6F7F22" w:rsidRDefault="006F7F22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61499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C303F7">
                    <w:rPr>
                      <w:rFonts w:ascii="Century" w:hAnsi="Century"/>
                      <w:sz w:val="18"/>
                      <w:szCs w:val="18"/>
                    </w:rPr>
                    <w:t xml:space="preserve">A través de un formulario y una grilla, el usuario será capaz de seleccionar los registros de </w:t>
                  </w:r>
                  <w:r w:rsidR="00C303F7" w:rsidRPr="00C303F7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confirmación </w:t>
                  </w:r>
                  <w:r w:rsidR="00C303F7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del cobro </w:t>
                  </w:r>
                  <w:r w:rsidR="00C303F7">
                    <w:rPr>
                      <w:rFonts w:ascii="Century" w:hAnsi="Century"/>
                      <w:sz w:val="18"/>
                      <w:szCs w:val="18"/>
                    </w:rPr>
                    <w:t xml:space="preserve">que tengan el campo </w:t>
                  </w:r>
                  <w:r w:rsidR="00C303F7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&lt;&lt;REGISTRADA&gt;&gt;</w:t>
                  </w:r>
                  <w:r w:rsidR="00C303F7">
                    <w:rPr>
                      <w:rFonts w:ascii="Century" w:hAnsi="Century"/>
                      <w:sz w:val="18"/>
                      <w:szCs w:val="18"/>
                    </w:rPr>
                    <w:t xml:space="preserve"> en false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 cuando el usuario presione el icono “Registrar”, entonces se ingresarán automáticamente 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REGISTRACION, COD CONFIRMACION</w:t>
                  </w:r>
                  <w:r w:rsidR="001C1DDE">
                    <w:rPr>
                      <w:rFonts w:ascii="Century" w:hAnsi="Century"/>
                      <w:b/>
                      <w:sz w:val="18"/>
                      <w:szCs w:val="18"/>
                    </w:rPr>
                    <w:t>, FECHA REGISTRACION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C118E4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4A3D54" w:rsidRPr="001029B3" w:rsidRDefault="004A3D54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4A3D54" w:rsidRDefault="00F87173" w:rsidP="005D67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 w:rsidR="00C118E4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 Código de registración, </w:t>
                  </w:r>
                  <w:r w:rsidR="00C118E4" w:rsidRPr="00C118E4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C118E4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C118E4" w:rsidRPr="005D6722">
                    <w:rPr>
                      <w:rFonts w:ascii="Century" w:hAnsi="Century"/>
                      <w:b/>
                      <w:sz w:val="18"/>
                      <w:szCs w:val="18"/>
                    </w:rPr>
                    <w:t>&lt;&lt;REGISTRADA&gt;&gt;</w:t>
                  </w:r>
                </w:p>
                <w:p w:rsidR="005D6722" w:rsidRDefault="005D6722" w:rsidP="005D67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A3D54" w:rsidRDefault="00F87173" w:rsidP="004A3D54">
                  <w:pP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>:</w:t>
                  </w:r>
                  <w:r w:rsidR="005D6722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&lt;&lt;REGISTRADA&gt;&gt;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en la factura de proveedor que esté asociada a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&lt;&lt;COD CONFIRMACIÓN&gt;&gt;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pasará a ser “True”. En la cuenta corriente del cliente, en 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&lt;&lt;DEBE&gt;&gt;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pasará a restársele el valor de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C2209D" w:rsidRPr="00C2209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C2209D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mientras que en 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&lt;&lt;SALDO&gt;&gt;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de la cuenta bancaria cuyo registro se accederá a través de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CUENTA BANCARIA&gt;&gt;</w:t>
                  </w:r>
                  <w:r w:rsidR="005D6722">
                    <w:rPr>
                      <w:rFonts w:ascii="Century" w:hAnsi="Century"/>
                      <w:sz w:val="18"/>
                      <w:szCs w:val="18"/>
                    </w:rPr>
                    <w:t xml:space="preserve"> se le sumará el campo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&lt;&lt;</w:t>
                  </w:r>
                  <w:r w:rsidR="00C2209D" w:rsidRPr="00C2209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C2209D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C2209D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5D6722" w:rsidRPr="001754CD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</w:p>
                <w:p w:rsidR="00F87173" w:rsidRDefault="00F87173" w:rsidP="004A3D54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2934A4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69.3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65.75pt;width:571.8pt;height:3.55pt;z-index:251677696" strokeweight="1.5pt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83.7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1754CD">
                    <w:rPr>
                      <w:rFonts w:ascii="Garamond" w:hAnsi="Garamond"/>
                      <w:sz w:val="20"/>
                      <w:szCs w:val="20"/>
                    </w:rPr>
                    <w:t>Finalización del cobro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1754CD">
                    <w:rPr>
                      <w:rFonts w:ascii="Garamond" w:hAnsi="Garamond"/>
                      <w:sz w:val="20"/>
                      <w:szCs w:val="20"/>
                    </w:rPr>
                    <w:t>Cobranza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1754CD">
                    <w:rPr>
                      <w:rFonts w:ascii="Garamond" w:hAnsi="Garamond"/>
                      <w:sz w:val="20"/>
                      <w:szCs w:val="20"/>
                    </w:rPr>
                    <w:t>Finaliza la registración de un cobro.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6634E1">
                    <w:rPr>
                      <w:rFonts w:ascii="Garamond" w:hAnsi="Garamond"/>
                      <w:sz w:val="20"/>
                      <w:szCs w:val="20"/>
                    </w:rPr>
                    <w:t>Agilización del control interno del sistema de cobranzas.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AD2473">
                    <w:rPr>
                      <w:rFonts w:ascii="Garamond" w:hAnsi="Garamond"/>
                      <w:sz w:val="28"/>
                      <w:szCs w:val="28"/>
                    </w:rPr>
                    <w:t>cobranzas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75674D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Registración monetaria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6351"/>
    <w:rsid w:val="00017B96"/>
    <w:rsid w:val="00020DEE"/>
    <w:rsid w:val="00061499"/>
    <w:rsid w:val="00067AEF"/>
    <w:rsid w:val="00067C13"/>
    <w:rsid w:val="00070AF7"/>
    <w:rsid w:val="000775C8"/>
    <w:rsid w:val="00090000"/>
    <w:rsid w:val="000B660E"/>
    <w:rsid w:val="000C4310"/>
    <w:rsid w:val="00103468"/>
    <w:rsid w:val="00117730"/>
    <w:rsid w:val="0013007C"/>
    <w:rsid w:val="0015695C"/>
    <w:rsid w:val="001753BF"/>
    <w:rsid w:val="001754CD"/>
    <w:rsid w:val="001841D9"/>
    <w:rsid w:val="001A2C87"/>
    <w:rsid w:val="001C1DDE"/>
    <w:rsid w:val="001C4D09"/>
    <w:rsid w:val="001D1E8A"/>
    <w:rsid w:val="001E5C60"/>
    <w:rsid w:val="001F08B4"/>
    <w:rsid w:val="00217241"/>
    <w:rsid w:val="0026250E"/>
    <w:rsid w:val="002934A4"/>
    <w:rsid w:val="002B1C3B"/>
    <w:rsid w:val="002E7CDE"/>
    <w:rsid w:val="0031389B"/>
    <w:rsid w:val="003672C9"/>
    <w:rsid w:val="00391CAD"/>
    <w:rsid w:val="003C4417"/>
    <w:rsid w:val="003E34C3"/>
    <w:rsid w:val="003F5CE4"/>
    <w:rsid w:val="00435539"/>
    <w:rsid w:val="00435A67"/>
    <w:rsid w:val="004749FA"/>
    <w:rsid w:val="00492ECE"/>
    <w:rsid w:val="004A15C6"/>
    <w:rsid w:val="004A3D54"/>
    <w:rsid w:val="004B71CD"/>
    <w:rsid w:val="005146DD"/>
    <w:rsid w:val="0053068D"/>
    <w:rsid w:val="00557636"/>
    <w:rsid w:val="00570F44"/>
    <w:rsid w:val="00592467"/>
    <w:rsid w:val="005D6722"/>
    <w:rsid w:val="005D6B98"/>
    <w:rsid w:val="00612B47"/>
    <w:rsid w:val="00625AF0"/>
    <w:rsid w:val="00657EF1"/>
    <w:rsid w:val="006634E1"/>
    <w:rsid w:val="0068285A"/>
    <w:rsid w:val="006C30B7"/>
    <w:rsid w:val="006D68B5"/>
    <w:rsid w:val="006E2F42"/>
    <w:rsid w:val="006F7F22"/>
    <w:rsid w:val="0070422B"/>
    <w:rsid w:val="007447BD"/>
    <w:rsid w:val="0075674D"/>
    <w:rsid w:val="0078103B"/>
    <w:rsid w:val="008002B2"/>
    <w:rsid w:val="00802318"/>
    <w:rsid w:val="008154B9"/>
    <w:rsid w:val="00827AAA"/>
    <w:rsid w:val="0088783E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05D9"/>
    <w:rsid w:val="009E1D4A"/>
    <w:rsid w:val="009F47DA"/>
    <w:rsid w:val="00A01000"/>
    <w:rsid w:val="00A044F3"/>
    <w:rsid w:val="00A06E68"/>
    <w:rsid w:val="00A076AD"/>
    <w:rsid w:val="00A66012"/>
    <w:rsid w:val="00AB5CC3"/>
    <w:rsid w:val="00AD2473"/>
    <w:rsid w:val="00AF5F03"/>
    <w:rsid w:val="00B20BED"/>
    <w:rsid w:val="00B50C34"/>
    <w:rsid w:val="00B67A0B"/>
    <w:rsid w:val="00BA3430"/>
    <w:rsid w:val="00BB16A2"/>
    <w:rsid w:val="00BC1396"/>
    <w:rsid w:val="00C118E4"/>
    <w:rsid w:val="00C137BF"/>
    <w:rsid w:val="00C204DE"/>
    <w:rsid w:val="00C2209D"/>
    <w:rsid w:val="00C303F7"/>
    <w:rsid w:val="00C477F0"/>
    <w:rsid w:val="00C60528"/>
    <w:rsid w:val="00C8212F"/>
    <w:rsid w:val="00CC346A"/>
    <w:rsid w:val="00CC3F7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DC718E"/>
    <w:rsid w:val="00E22B17"/>
    <w:rsid w:val="00E94A8B"/>
    <w:rsid w:val="00EB7CE2"/>
    <w:rsid w:val="00EE18C4"/>
    <w:rsid w:val="00EE2769"/>
    <w:rsid w:val="00F3257B"/>
    <w:rsid w:val="00F82052"/>
    <w:rsid w:val="00F84680"/>
    <w:rsid w:val="00F87173"/>
    <w:rsid w:val="00F90D43"/>
    <w:rsid w:val="00F93157"/>
    <w:rsid w:val="00FB5101"/>
    <w:rsid w:val="00FC482B"/>
    <w:rsid w:val="00FD1793"/>
    <w:rsid w:val="00FD37EC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77</cp:revision>
  <dcterms:created xsi:type="dcterms:W3CDTF">2019-04-30T20:02:00Z</dcterms:created>
  <dcterms:modified xsi:type="dcterms:W3CDTF">2019-06-23T18:13:00Z</dcterms:modified>
</cp:coreProperties>
</file>